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E3B7" w14:textId="77777777" w:rsidR="00000000" w:rsidRDefault="00CE1551">
      <w:pPr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</w:rPr>
        <w:t>﻿</w:t>
      </w:r>
    </w:p>
    <w:p w14:paraId="5BB9D632" w14:textId="77777777" w:rsidR="00000000" w:rsidRDefault="00CE1551">
      <w:pPr>
        <w:shd w:val="clear" w:color="auto" w:fill="FFFFFF"/>
        <w:divId w:val="25863607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OKOZ:</w:t>
      </w:r>
    </w:p>
    <w:p w14:paraId="035B199B" w14:textId="77777777" w:rsidR="00000000" w:rsidRDefault="00CE1551">
      <w:pPr>
        <w:shd w:val="clear" w:color="auto" w:fill="FFFFFF"/>
        <w:divId w:val="50613492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03.00.00.00 Fuqarolik qonunchiligi / 03.03.00.00 Yuridik shaxslar / 03.03.05.00 Xo‘jalik shirkatlari va jamiyatlari / 03.03.05.05 Aksiyadorlik jamiyatlari;</w:t>
      </w:r>
    </w:p>
    <w:p w14:paraId="58F1EFD4" w14:textId="77777777" w:rsidR="00000000" w:rsidRDefault="00CE1551">
      <w:pPr>
        <w:shd w:val="clear" w:color="auto" w:fill="FFFFFF"/>
        <w:divId w:val="13202094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07.00.00.00 Moliya va kredit to‘g‘risidagi qonunchilik. Bank faoliyati / 07.28.00.00 Investitsiyal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ar va xorijdan mablag‘ jalb qilish (shuningdek, 07.05.04.00, 09.12.03.00, 10.01.05.00larga qarang) / 07.28.06.00 Investitsiya dasturlari va loyihalar / 07.28.06.02 Investitsiya loyihalari]</w:t>
      </w:r>
    </w:p>
    <w:p w14:paraId="548A6B69" w14:textId="77777777" w:rsidR="00000000" w:rsidRDefault="00CE1551">
      <w:pPr>
        <w:shd w:val="clear" w:color="auto" w:fill="FFFFFF"/>
        <w:divId w:val="108241393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TSZ:</w:t>
      </w:r>
    </w:p>
    <w:p w14:paraId="5D477B5A" w14:textId="77777777" w:rsidR="00000000" w:rsidRDefault="00CE1551">
      <w:pPr>
        <w:shd w:val="clear" w:color="auto" w:fill="FFFFFF"/>
        <w:divId w:val="40438141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Fuqarolik qonunchiligi. Tadbirkorlik / Yuridik shaxslar. Ti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jorat tashkilotlari. Notijorat tashkilotlari;</w:t>
      </w:r>
    </w:p>
    <w:p w14:paraId="1A540E3B" w14:textId="77777777" w:rsidR="00000000" w:rsidRDefault="00CE1551">
      <w:pPr>
        <w:shd w:val="clear" w:color="auto" w:fill="FFFFFF"/>
        <w:divId w:val="138753117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Moliya / Investitsiyalar]</w:t>
      </w:r>
    </w:p>
    <w:p w14:paraId="25B29B71" w14:textId="77777777" w:rsidR="00000000" w:rsidRDefault="00CE1551">
      <w:pPr>
        <w:shd w:val="clear" w:color="auto" w:fill="FFFFFF"/>
        <w:divId w:val="1173757978"/>
        <w:rPr>
          <w:rFonts w:eastAsia="Times New Roman"/>
        </w:rPr>
      </w:pPr>
      <w:r>
        <w:rPr>
          <w:rFonts w:eastAsia="Times New Roman"/>
        </w:rPr>
        <w:t>Norasmiy tarjima</w:t>
      </w:r>
    </w:p>
    <w:p w14:paraId="500205C2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O‘zbekiston Respublikasi Prezidentining</w:t>
      </w:r>
    </w:p>
    <w:p w14:paraId="78A3B6CB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Qarori</w:t>
      </w:r>
    </w:p>
    <w:p w14:paraId="3BA88959" w14:textId="77777777" w:rsidR="00000000" w:rsidRDefault="00CE1551">
      <w:pPr>
        <w:shd w:val="clear" w:color="auto" w:fill="FFFFFF"/>
        <w:jc w:val="center"/>
        <w:divId w:val="105581945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“Navoiyazot” aksiyadorlik jamiyatida investitsiya loyihalarini o‘z vaqtida amalga oshirishga oid qo‘shimcha chora-tadb</w:t>
      </w:r>
      <w:r>
        <w:rPr>
          <w:rFonts w:eastAsia="Times New Roman"/>
          <w:b/>
          <w:bCs/>
          <w:caps/>
          <w:color w:val="000080"/>
        </w:rPr>
        <w:t>irlar to‘g‘risida</w:t>
      </w:r>
    </w:p>
    <w:p w14:paraId="4BAA020F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Belgilansinki, “Navoiyazot” AJ negizida polivinilxlorid (PVX), kaustik soda va metanol ishlab chiqarish kompleksi qurilishi”, “Navoiyazot” AJda ammiak va karbamid ishlab chiqarishlarini barpo etish” va “Navoiyazot” AJda azot kislotasi ish</w:t>
      </w:r>
      <w:r>
        <w:rPr>
          <w:rFonts w:eastAsia="Times New Roman"/>
          <w:color w:val="000000"/>
        </w:rPr>
        <w:t>lab chiqarishni tashkil etish” investitsiya loyihalarining (keyingi o‘rinlarda — loyihalar) tender hujjatlarini va texnik-iqtisodiy asoslarini ishlab chiqishda jahon bozori konyunkturasini chuqur o‘rganish qismida va ularni moliyalashtirishda aniq manbalar</w:t>
      </w:r>
      <w:r>
        <w:rPr>
          <w:rFonts w:eastAsia="Times New Roman"/>
          <w:color w:val="000000"/>
        </w:rPr>
        <w:t>ni puxta ishlab chiqishda kamchiliklarga yo‘l qo‘yilgan.</w:t>
      </w:r>
    </w:p>
    <w:p w14:paraId="541DD469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Mazkur loyihalarni o‘z vaqtida va sifatli ta’minlash hamda ularni moliyalashtirishda xorijiy banklarning kreditlarini jalb etish uchun zarur shart-sharoitlar yaratish maqsadida:</w:t>
      </w:r>
    </w:p>
    <w:p w14:paraId="176AAD9E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“O‘zkimyosanoat” A</w:t>
      </w:r>
      <w:r>
        <w:rPr>
          <w:rFonts w:eastAsia="Times New Roman"/>
          <w:color w:val="000000"/>
        </w:rPr>
        <w:t>J, O‘zbekiston Respublikasi Iqtisodiyot vazirligi, Moliya vazirligi, Investitsiyalar bo‘yicha davlat qo‘mitasi, O‘zbekiston Respublikasi Tiklanish va taraqqiyot jamg‘armasi, “Asaka” ATB, “O‘zsanoatqurilishbank” ATB bankining:</w:t>
      </w:r>
    </w:p>
    <w:p w14:paraId="72934855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“Bank of Tokyo Mitsubishi” bos</w:t>
      </w:r>
      <w:r>
        <w:rPr>
          <w:rFonts w:eastAsia="Times New Roman"/>
          <w:color w:val="000000"/>
        </w:rPr>
        <w:t>hchiligidagi Yaponiya banklari konsorsiumi (keyingi o‘rinlarda — Yaponiya banklari konsorsiumi) krediti hisobiga “Navoiyazot” aksiyadorlik jamiyatida ammiak va karbamid ishlab chiqaruvchi korxonani qurish, mazkur kredit Yaponiya eksport-kredit agentligi (N</w:t>
      </w:r>
      <w:r>
        <w:rPr>
          <w:rFonts w:eastAsia="Times New Roman"/>
          <w:color w:val="000000"/>
        </w:rPr>
        <w:t>EXI) sug‘urta mukofotini to‘lash uchun 2,5 mlrd. Yapon yenasi (21,74 mln. AQSh dollari) miqdorida 7 yillik muddatga, shu jumladan, 3 yillik imtiyozli davrni hisobga olgan holda 6 oylik LIBOR (yena) bukiluvchi stavkasi bo‘yicha qo‘shimcha ravishda yillik 1,</w:t>
      </w:r>
      <w:r>
        <w:rPr>
          <w:rFonts w:eastAsia="Times New Roman"/>
          <w:color w:val="000000"/>
        </w:rPr>
        <w:t xml:space="preserve">45 foiz, shu jumladan, qayta moliyalashtiruvchi “Asaka” ATBning yillik 0,25 foiz miqdoridagi marjasi bo‘yicha taqdim etish; </w:t>
      </w:r>
    </w:p>
    <w:p w14:paraId="174ADF17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“Commerzbank” (Germaniya) va “Credit Suisse” (Shveysariya) banklari konsorsiumining 115,62 mln AQSh dollari miqdoridagi krediti his</w:t>
      </w:r>
      <w:r>
        <w:rPr>
          <w:rFonts w:eastAsia="Times New Roman"/>
          <w:color w:val="000000"/>
        </w:rPr>
        <w:t>obiga “Navoiyazot” aksiyadorlik jamiyatida azot kislotasi ishlab chiqarishni tashkil etishga mo‘ljallangan mazkur kredit 11 yillik muddatga, shu jumladan, 3 yillik imtiyozli davrga, 6 oylik LIBOR (dollar) bukiluvchan stavkasi bo‘yicha qo‘shimcha ravishda y</w:t>
      </w:r>
      <w:r>
        <w:rPr>
          <w:rFonts w:eastAsia="Times New Roman"/>
          <w:color w:val="000000"/>
        </w:rPr>
        <w:t>illik 1,55 foiz, shu jumladan, qayta moliyalashtiruvchi “Asaka” ATBning yillik 0,35 foiz miqdoridagi marjasi bo‘yicha taqdim etgan holda loyihalarni moliyalashtirishga xorijiy banklarni jalb etish to‘g‘risidagi takliflariga rozilik berilsin.</w:t>
      </w:r>
    </w:p>
    <w:p w14:paraId="2E5D32B9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Quyidagi ra</w:t>
      </w:r>
      <w:r>
        <w:rPr>
          <w:rFonts w:eastAsia="Times New Roman"/>
          <w:color w:val="000000"/>
        </w:rPr>
        <w:t>hbarlar zimmasiga:</w:t>
      </w:r>
    </w:p>
    <w:p w14:paraId="486FB3FB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O‘zbekiston Respublikasi Vazirlar Mahkamasining Geologiya, yoqilg‘i-energetika kompleksi, kimyo, neft-kimyo va metallurgiya sanoati masalalari kompleksi (G‘. Ibragimov) — loyihani amalga oshirishda ularni belgilangan muddatlarda ishga tu</w:t>
      </w:r>
      <w:r>
        <w:rPr>
          <w:rFonts w:eastAsia="Times New Roman"/>
          <w:color w:val="000000"/>
        </w:rPr>
        <w:t>shirish bilan birga tegishli vazirlik va idoralarning ishlarini samarali muvofiqlashtirish;</w:t>
      </w:r>
    </w:p>
    <w:p w14:paraId="005876AF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“O‘zkimyosanoat” AJ (A. Abdullayev), “Navoiyazot” AJ (B. Sharipov), “O‘zkimyosanoatloyiha” AJ (S. Xolmo‘minov) — texnik hujjatlarni o‘z vaqtida ko‘rib chiqish va mu</w:t>
      </w:r>
      <w:r>
        <w:rPr>
          <w:rFonts w:eastAsia="Times New Roman"/>
          <w:color w:val="000000"/>
        </w:rPr>
        <w:t>vofiqlashtirish, texnologiya va uskunalarni tanlash, qurilish ishlari olib borilishini nazorat qilish, shuningdek, loyihalarni belgilangan muddatlarda ishga tushirilishini so‘zsiz ta’minlovchi shartnomalar shartlariga muvofiq to‘lovni amalga oshirish;</w:t>
      </w:r>
    </w:p>
    <w:p w14:paraId="5CCDCA86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O‘zb</w:t>
      </w:r>
      <w:r>
        <w:rPr>
          <w:rFonts w:eastAsia="Times New Roman"/>
          <w:color w:val="000000"/>
        </w:rPr>
        <w:t>ekiston Respublikasi Davlat arxitektura va qurilish qo‘mitasi qo‘mitasi (B. Zokirov) — loyiha hujjatlarini davlat ekspertizasidan o‘tkazishni va davlat arxitektura-qurilish nazoratini doimiy asosda amalga oshirish yo‘li orqali qurilish-montaj ishlarini sif</w:t>
      </w:r>
      <w:r>
        <w:rPr>
          <w:rFonts w:eastAsia="Times New Roman"/>
          <w:color w:val="000000"/>
        </w:rPr>
        <w:t>atli bajarish;</w:t>
      </w:r>
    </w:p>
    <w:p w14:paraId="5DDF644D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O‘zbekiston Respublikasi Investitsiyalar bo‘yicha davlat qo‘mitasi (A. Axmedxodjayev) — loyihani amalga oshirish doirasida import qilinadigan uskunalar, texnika va texnologiyalar, materiallar va butlovchi buyumlarga va ularning narxlari oshi</w:t>
      </w:r>
      <w:r>
        <w:rPr>
          <w:rFonts w:eastAsia="Times New Roman"/>
          <w:color w:val="000000"/>
        </w:rPr>
        <w:t>rilishiga yo‘l qo‘ymaslikka alohida ahamiyat berib, baholash parametrlari qismini puxta ekspertizadan o‘tkazish;</w:t>
      </w:r>
    </w:p>
    <w:p w14:paraId="5E17BC3B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“Asaka” ATB (K. Mullajonov), “O‘zsanoatqurilishbank” ATB (A. Mirsoatov) va O‘zbekiston Respublikasi Tiklanish va taraqqiyot jamg‘armasi (Sh. Va</w:t>
      </w:r>
      <w:r>
        <w:rPr>
          <w:rFonts w:eastAsia="Times New Roman"/>
          <w:color w:val="000000"/>
        </w:rPr>
        <w:t>foyev) — loyihani amalga oshirishda xorijiy va mahalliy banklar kreditlarini jalb etish va samarali foydalanish, jalb qilingan qarz mablag‘larini o‘z vaqtida so‘ndirish ustidan moliyaviy nazoratni amalga oshirish;</w:t>
      </w:r>
    </w:p>
    <w:p w14:paraId="4F9D109A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“O‘zInjiniring” respublika loyiha institut</w:t>
      </w:r>
      <w:r>
        <w:rPr>
          <w:rFonts w:eastAsia="Times New Roman"/>
          <w:color w:val="000000"/>
        </w:rPr>
        <w:t>i (T. Urazayev) — loyihalarga sifatli texnik hamrohlik qilish, shu jumladan loyiha yechimlarining muvofiqligi, obyektlardan foydalanishda taklif etilayotgan texnologiyalar va uskunalarning ishonchliligi va xavfsizligi talablari, shuningdek, ishlab chiqaris</w:t>
      </w:r>
      <w:r>
        <w:rPr>
          <w:rFonts w:eastAsia="Times New Roman"/>
          <w:color w:val="000000"/>
        </w:rPr>
        <w:t>h, energiya va resurslarni tejaydigan, ekologik standartlarni ta’minlash yuzasidan shaxsiy javobgarlik yuklansin.</w:t>
      </w:r>
    </w:p>
    <w:p w14:paraId="5792D6BC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Quyidagilar:</w:t>
      </w:r>
    </w:p>
    <w:p w14:paraId="3744CEA0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“Bank of Tokyo Mitsubishi” boshchiligida Yaponiya banklari konsorsiumi krediti bo‘yicha asosiy qarzni so‘ndirish, foizlarni va vositachilik haqini to‘lashning prognoz jadvali</w:t>
      </w:r>
      <w:hyperlink r:id="rId4" w:history="1">
        <w:r>
          <w:rPr>
            <w:rFonts w:eastAsia="Times New Roman"/>
            <w:color w:val="008080"/>
          </w:rPr>
          <w:t xml:space="preserve"> 1-ilovaga </w:t>
        </w:r>
      </w:hyperlink>
      <w:r>
        <w:rPr>
          <w:rFonts w:eastAsia="Times New Roman"/>
          <w:color w:val="000000"/>
        </w:rPr>
        <w:t>muvofiq;</w:t>
      </w:r>
    </w:p>
    <w:p w14:paraId="65B7B247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“Commerzbank” </w:t>
      </w:r>
      <w:r>
        <w:rPr>
          <w:rFonts w:eastAsia="Times New Roman"/>
          <w:color w:val="000000"/>
        </w:rPr>
        <w:t xml:space="preserve">(Germaniya) va “Credit Suisse” (Shveysariya) banklari konsorsiumining krediti bo‘yicha asosiy qarzni so‘ndirish, foizlarni va vositachilik haqini to‘lashning prognoz jadvali </w:t>
      </w:r>
      <w:hyperlink r:id="rId5" w:history="1">
        <w:r>
          <w:rPr>
            <w:rFonts w:eastAsia="Times New Roman"/>
            <w:color w:val="008080"/>
          </w:rPr>
          <w:t xml:space="preserve">2-ilovaga </w:t>
        </w:r>
      </w:hyperlink>
      <w:r>
        <w:rPr>
          <w:rFonts w:eastAsia="Times New Roman"/>
          <w:color w:val="000000"/>
        </w:rPr>
        <w:t>muvofiq tasdiqlansin.</w:t>
      </w:r>
    </w:p>
    <w:p w14:paraId="533F4C0C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</w:t>
      </w:r>
      <w:r>
        <w:rPr>
          <w:rFonts w:eastAsia="Times New Roman"/>
          <w:color w:val="000000"/>
        </w:rPr>
        <w:t xml:space="preserve"> Belgilansinki:</w:t>
      </w:r>
    </w:p>
    <w:p w14:paraId="3E5544AC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loyihani o‘z vaqtida amalga oshirishda va kreditlardan maqsadli hamda samarali foydalanishda mas’ul ijro etuvchi organ etib “O‘zkimyosanoat” AJ va shaxsan uning raisi A. Abdullayev hisoblanadi;</w:t>
      </w:r>
    </w:p>
    <w:p w14:paraId="68384BEE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loyiha doirasida jalb etilayotgan kreditlar bo</w:t>
      </w:r>
      <w:r>
        <w:rPr>
          <w:rFonts w:eastAsia="Times New Roman"/>
          <w:color w:val="000000"/>
        </w:rPr>
        <w:t>‘yicha asosiy qarzni o‘z mablag‘lari hisobiga so‘ndirish, foizlar, vositachilik haqi va kreditlarga xizmat ko‘rsatuvchi boshqa xarajatlar bo‘yicha qarzdor “Navoiyazot” AJ (B. Sharipov) hisoblanadi.</w:t>
      </w:r>
    </w:p>
    <w:p w14:paraId="52C5D44F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O‘zbekiston Respublikasi moliya vaziri B. Xodjayevni qa</w:t>
      </w:r>
      <w:r>
        <w:rPr>
          <w:rFonts w:eastAsia="Times New Roman"/>
          <w:color w:val="000000"/>
        </w:rPr>
        <w:t>rz kelishuvlarida nazarda tutilgan shaklda:</w:t>
      </w:r>
    </w:p>
    <w:p w14:paraId="0A6EB54B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“Bank of Tokyo Mitsubishi” (Yaponiya) — “Asaka” ATB to‘lov majburiyatlari bo‘yicha;</w:t>
      </w:r>
    </w:p>
    <w:p w14:paraId="542DA283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“Commerzbank” (Germaniya) va “Credit Suisse” (Shveysariya) banklarining konsorsiumi — “O‘zsanoatqurlishbank” ATB to‘lov majburiy</w:t>
      </w:r>
      <w:r>
        <w:rPr>
          <w:rFonts w:eastAsia="Times New Roman"/>
          <w:color w:val="000000"/>
        </w:rPr>
        <w:t>atlari bo‘yicha;</w:t>
      </w:r>
    </w:p>
    <w:p w14:paraId="75C05221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“Asaka” ATB — “Bank of Tokyo Mitsubishi” (Yaponiya) kreditining “Navoiyazot” AJning majburiyatlari bo‘yicha;</w:t>
      </w:r>
    </w:p>
    <w:p w14:paraId="6E1BB452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“O‘zsanoatqurilishbank” ATB — “Commerzbank” (Germaniya) va “Credit Suisse” (Shveysariya) banklari konsorsiumi kreditlarining “Navo</w:t>
      </w:r>
      <w:r>
        <w:rPr>
          <w:rFonts w:eastAsia="Times New Roman"/>
          <w:color w:val="000000"/>
        </w:rPr>
        <w:t>iyazot” AJning majburiyatlariga oid Davlat kafolatlarini berish bo‘yicha vakil etib tayinlansin.</w:t>
      </w:r>
    </w:p>
    <w:p w14:paraId="37E1A334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O‘zbekiston Respublikasi Adliya vazirligi (M. Ikramov) “Asaka” ATB va “Bank of Tokyo Mitsubishi” (Yaponiya), shuningdek, “O‘zsanoatqurilishbank” ATB — “Comm</w:t>
      </w:r>
      <w:r>
        <w:rPr>
          <w:rFonts w:eastAsia="Times New Roman"/>
          <w:color w:val="000000"/>
        </w:rPr>
        <w:t>erzbank” (Germaniya) va “Credit Suisse” (Shveysariya) banklarining konsorsiumi o‘rtasidagi qarz bitimida nazarda tutilgan shaklda O‘zbekiston Respublikasi Davlat kafolati bo‘yicha belgilangan tartibda yuridik xulosa bersin.</w:t>
      </w:r>
    </w:p>
    <w:p w14:paraId="663ECDA4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O‘zbekiston Respublikasi Mark</w:t>
      </w:r>
      <w:r>
        <w:rPr>
          <w:rFonts w:eastAsia="Times New Roman"/>
          <w:color w:val="000000"/>
        </w:rPr>
        <w:t>aziy banki (M. Nurmuratov), “O‘zsanoatqurilishbank” ATB (A. Mirsoatov) va “O‘zkimyosanoat” AJ (A. Abdullayev)ning “Navoiyazot” AJ mahsulotlarini sotishdan kelib tushadigan o‘z mablag‘larini milliy va xorijiy valyutada jamg‘arish uchun keyinchalik ularni mo</w:t>
      </w:r>
      <w:r>
        <w:rPr>
          <w:rFonts w:eastAsia="Times New Roman"/>
          <w:color w:val="000000"/>
        </w:rPr>
        <w:t>liyalashtirishga sarflashni maqsadli yo‘naltirish, jalb qilinayotgan kreditlarga xizmat ko‘rsatishni hisobga olib, maxsus bank hisobraqamini ochish to‘g‘risidagi takliflariga rozilik berilsin.</w:t>
      </w:r>
    </w:p>
    <w:p w14:paraId="1263FEEC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“Asaka” ATB (K. Mullajonov) va “O‘zsanoatqurilishbank” ATB (</w:t>
      </w:r>
      <w:r>
        <w:rPr>
          <w:rFonts w:eastAsia="Times New Roman"/>
          <w:color w:val="000000"/>
        </w:rPr>
        <w:t>A. Mirsoatov) “Navoiyazot” aksiyadorlik jamiyatiga milliy valyutada 35,4 mln AQSh dollariga teng bo‘lgan, tanlab olingan kundan boshlab 10 yillik muddatga, shu jumladan, 5 yillik imtiyozli davrni hisobga olgan holda va loyihalarni amalga oshirish doirasida</w:t>
      </w:r>
      <w:r>
        <w:rPr>
          <w:rFonts w:eastAsia="Times New Roman"/>
          <w:color w:val="000000"/>
        </w:rPr>
        <w:t xml:space="preserve"> “Navoiyazot” AJ aylanma mablag‘larini to‘ldirish uchun O‘zbekiston Respublikasi Markaziy bankining qayta moliyalashtirish stavkalariga teng bo‘lgan foiz stavkasi bo‘yicha beriladigan kredit liniyalari ochilishini ta’minlasin.</w:t>
      </w:r>
    </w:p>
    <w:p w14:paraId="21375E41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“Navoiyazot” AJga istisno </w:t>
      </w:r>
      <w:r>
        <w:rPr>
          <w:rFonts w:eastAsia="Times New Roman"/>
          <w:color w:val="000000"/>
        </w:rPr>
        <w:t xml:space="preserve">tariqasida “Navoiyazot” AJ negizida polivinilxlorid (PVX), kaustik soda va metanol ishlab chiqarish kompleksi qurilishi”, “Navoiyazot” AJda ammiak va karbamid ishlab chiqarish” va “Navoiyazot” AJda azot kislotasi ishlab chiqarishni tashkil etish” </w:t>
      </w:r>
      <w:r>
        <w:rPr>
          <w:rFonts w:eastAsia="Times New Roman"/>
          <w:color w:val="000000"/>
        </w:rPr>
        <w:lastRenderedPageBreak/>
        <w:t>investits</w:t>
      </w:r>
      <w:r>
        <w:rPr>
          <w:rFonts w:eastAsia="Times New Roman"/>
          <w:color w:val="000000"/>
        </w:rPr>
        <w:t xml:space="preserve">iya loyihalarini amalga oshirish doirasida 2018-yilning 1-iyuligacha qurilish ishlari bilan loyiha hujjatlarini ishlab chiqishni bir vaqtda amalga oshirishga ruxsat berilsin. </w:t>
      </w:r>
    </w:p>
    <w:p w14:paraId="6427B821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10. Belgilansinki, mazkur loyihalarni amalga oshirishda import qilinadigan “erki</w:t>
      </w:r>
      <w:r>
        <w:rPr>
          <w:rFonts w:eastAsia="Times New Roman"/>
          <w:color w:val="000000"/>
        </w:rPr>
        <w:t>n muomalaga chiqarish” uskunalari, texnika va texnologiyalar, materiallar va butlovchi buyumlarga bo‘lgan bojxona rasmiylashtiruvi O‘zbekiston Respublikasi Investitsiyalar bo‘yicha davlat qo‘mitasining shartnomalar bo‘yicha ijobiy xulosasi mavjud bo‘lgan h</w:t>
      </w:r>
      <w:r>
        <w:rPr>
          <w:rFonts w:eastAsia="Times New Roman"/>
          <w:color w:val="000000"/>
        </w:rPr>
        <w:t>olda amalga oshiriladi.</w:t>
      </w:r>
    </w:p>
    <w:p w14:paraId="62CFC5FE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11. O‘zbekiston Respublikasi Prezidentining ayrim hujjatlariga </w:t>
      </w:r>
      <w:hyperlink r:id="rId6" w:history="1">
        <w:r>
          <w:rPr>
            <w:rFonts w:eastAsia="Times New Roman"/>
            <w:color w:val="008080"/>
          </w:rPr>
          <w:t xml:space="preserve">3-ilovaga </w:t>
        </w:r>
      </w:hyperlink>
      <w:r>
        <w:rPr>
          <w:rFonts w:eastAsia="Times New Roman"/>
          <w:color w:val="000000"/>
        </w:rPr>
        <w:t xml:space="preserve">muvofiq qo‘shimchalar kiritilsin. </w:t>
      </w:r>
    </w:p>
    <w:p w14:paraId="57EB92B7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Mazkur qarorning ijrosini nazorat qilish O‘zbekiston Respublikasi Bosh v</w:t>
      </w:r>
      <w:r>
        <w:rPr>
          <w:rFonts w:eastAsia="Times New Roman"/>
          <w:color w:val="000000"/>
        </w:rPr>
        <w:t>azirining o‘rinbosari G‘.I. Ibragimov va O‘zbekiston Respublikasi Investitsiyalar bo‘yicha davlat qo‘mitasi raisi A.I. Axmedxodjayev zimmasiga yuklansin.</w:t>
      </w:r>
    </w:p>
    <w:p w14:paraId="03685079" w14:textId="77777777" w:rsidR="00000000" w:rsidRDefault="00CE1551">
      <w:pPr>
        <w:shd w:val="clear" w:color="auto" w:fill="FFFFFF"/>
        <w:jc w:val="right"/>
        <w:divId w:val="1427387031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O‘zbekiston Respublikasi Prezidenti Sh. MIRZIYOYEV</w:t>
      </w:r>
    </w:p>
    <w:p w14:paraId="53E3EB34" w14:textId="77777777" w:rsidR="00000000" w:rsidRDefault="00CE1551">
      <w:pPr>
        <w:shd w:val="clear" w:color="auto" w:fill="FFFFFF"/>
        <w:jc w:val="center"/>
        <w:divId w:val="163984663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Toshkent sh.,</w:t>
      </w:r>
    </w:p>
    <w:p w14:paraId="69C2FB09" w14:textId="77777777" w:rsidR="00000000" w:rsidRDefault="00CE1551">
      <w:pPr>
        <w:shd w:val="clear" w:color="auto" w:fill="FFFFFF"/>
        <w:jc w:val="center"/>
        <w:divId w:val="866211954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2017-yil 24-iyul,</w:t>
      </w:r>
    </w:p>
    <w:p w14:paraId="78257D9B" w14:textId="77777777" w:rsidR="00000000" w:rsidRDefault="00CE1551">
      <w:pPr>
        <w:shd w:val="clear" w:color="auto" w:fill="FFFFFF"/>
        <w:jc w:val="center"/>
        <w:divId w:val="88568012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PQ-3146-son</w:t>
      </w:r>
    </w:p>
    <w:p w14:paraId="51508E61" w14:textId="77777777" w:rsidR="00000000" w:rsidRDefault="00CE1551">
      <w:pPr>
        <w:shd w:val="clear" w:color="auto" w:fill="FFFFFF"/>
        <w:jc w:val="center"/>
        <w:divId w:val="187909076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O‘zbeki</w:t>
      </w:r>
      <w:r>
        <w:rPr>
          <w:rFonts w:eastAsia="Times New Roman"/>
          <w:color w:val="000080"/>
          <w:sz w:val="22"/>
          <w:szCs w:val="22"/>
        </w:rPr>
        <w:t xml:space="preserve">ston Respublikasi Prezidentining 2017-yil 24-iyuldagi PQ-3146-son </w:t>
      </w:r>
      <w:hyperlink r:id="rId7" w:history="1">
        <w:r>
          <w:rPr>
            <w:rFonts w:eastAsia="Times New Roman"/>
            <w:color w:val="008080"/>
            <w:sz w:val="22"/>
            <w:szCs w:val="22"/>
          </w:rPr>
          <w:t>qaroriga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1-ILOVA</w:t>
      </w:r>
    </w:p>
    <w:p w14:paraId="1A730ECF" w14:textId="77777777" w:rsidR="00000000" w:rsidRDefault="00CE1551">
      <w:pPr>
        <w:shd w:val="clear" w:color="auto" w:fill="FFFFFF"/>
        <w:jc w:val="center"/>
        <w:divId w:val="956595742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 xml:space="preserve">“Vank of Tokyo Mitsubishi” boshchiligidagi Yaponiya banklari konsorsiumi kreditlari bo‘yicha asosiy qarzni so‘ndirish, foizlar va vositachilik haqini to‘lashning </w:t>
      </w:r>
    </w:p>
    <w:p w14:paraId="4B0BE06F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PROGNOZ JADVALI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0"/>
        <w:gridCol w:w="6647"/>
      </w:tblGrid>
      <w:tr w:rsidR="00000000" w14:paraId="2C270764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21ADD5DF" w14:textId="77777777" w:rsidR="00000000" w:rsidRDefault="00CE1551">
            <w:pPr>
              <w:ind w:left="134"/>
              <w:jc w:val="both"/>
            </w:pPr>
            <w:r>
              <w:t>Kredit summasi</w:t>
            </w:r>
          </w:p>
        </w:tc>
        <w:tc>
          <w:tcPr>
            <w:tcW w:w="50" w:type="pct"/>
            <w:shd w:val="clear" w:color="auto" w:fill="FFFFFF"/>
            <w:hideMark/>
          </w:tcPr>
          <w:p w14:paraId="24F293CC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091CAD0A" w14:textId="77777777" w:rsidR="00000000" w:rsidRDefault="00CE1551">
            <w:pPr>
              <w:ind w:firstLine="178"/>
            </w:pPr>
            <w:r>
              <w:t xml:space="preserve">21,739 mln AQSh dollari </w:t>
            </w:r>
            <w:r>
              <w:t>(2,5 mlrd yapon yeni ekv. 115 JRY = 1 USD kursi bo‘yicha);</w:t>
            </w:r>
          </w:p>
        </w:tc>
      </w:tr>
      <w:tr w:rsidR="00000000" w14:paraId="7205350D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705347FD" w14:textId="77777777" w:rsidR="00000000" w:rsidRDefault="00CE1551">
            <w:pPr>
              <w:ind w:left="134"/>
              <w:jc w:val="both"/>
            </w:pPr>
            <w:r>
              <w:t>Kredit valyutasi</w:t>
            </w:r>
          </w:p>
        </w:tc>
        <w:tc>
          <w:tcPr>
            <w:tcW w:w="50" w:type="pct"/>
            <w:shd w:val="clear" w:color="auto" w:fill="FFFFFF"/>
            <w:hideMark/>
          </w:tcPr>
          <w:p w14:paraId="45FDABBF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2FB29B86" w14:textId="77777777" w:rsidR="00000000" w:rsidRDefault="00CE1551">
            <w:pPr>
              <w:ind w:firstLine="178"/>
            </w:pPr>
            <w:r>
              <w:t>Yaponiya yenasi;</w:t>
            </w:r>
          </w:p>
        </w:tc>
      </w:tr>
      <w:tr w:rsidR="00000000" w14:paraId="3EC36479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4CD1179A" w14:textId="77777777" w:rsidR="00000000" w:rsidRDefault="00CE1551">
            <w:pPr>
              <w:ind w:left="134"/>
              <w:jc w:val="both"/>
            </w:pPr>
            <w:r>
              <w:t>Kredit muddati</w:t>
            </w:r>
          </w:p>
        </w:tc>
        <w:tc>
          <w:tcPr>
            <w:tcW w:w="50" w:type="pct"/>
            <w:shd w:val="clear" w:color="auto" w:fill="FFFFFF"/>
            <w:hideMark/>
          </w:tcPr>
          <w:p w14:paraId="0C834DBC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2449D028" w14:textId="77777777" w:rsidR="00000000" w:rsidRDefault="00CE1551">
            <w:pPr>
              <w:ind w:firstLine="178"/>
            </w:pPr>
            <w:r>
              <w:t>7 yilgacha, shu jumladan 3 yil imtiyozli davr;</w:t>
            </w:r>
          </w:p>
        </w:tc>
      </w:tr>
      <w:tr w:rsidR="00000000" w14:paraId="478EFE12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68F25CE8" w14:textId="77777777" w:rsidR="00000000" w:rsidRDefault="00CE1551">
            <w:pPr>
              <w:ind w:left="134"/>
              <w:jc w:val="both"/>
            </w:pPr>
            <w:r>
              <w:t>Foiz stavkasi</w:t>
            </w:r>
          </w:p>
        </w:tc>
        <w:tc>
          <w:tcPr>
            <w:tcW w:w="50" w:type="pct"/>
            <w:shd w:val="clear" w:color="auto" w:fill="FFFFFF"/>
            <w:hideMark/>
          </w:tcPr>
          <w:p w14:paraId="34E32026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085532EA" w14:textId="77777777" w:rsidR="00000000" w:rsidRDefault="00CE1551">
            <w:pPr>
              <w:ind w:firstLine="178"/>
            </w:pPr>
            <w:r>
              <w:t>6 oylik LIBOR (yenada) + yillik 1,45 foiz (shu jumladan bank marjasi 0,25 foiz</w:t>
            </w:r>
            <w:r>
              <w:t>);</w:t>
            </w:r>
          </w:p>
        </w:tc>
      </w:tr>
      <w:tr w:rsidR="00000000" w14:paraId="1E27E2B0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53B5C1D1" w14:textId="77777777" w:rsidR="00000000" w:rsidRDefault="00CE1551">
            <w:pPr>
              <w:ind w:left="134"/>
              <w:jc w:val="both"/>
            </w:pPr>
            <w:r>
              <w:t>Agentlik xarajatlari</w:t>
            </w:r>
          </w:p>
        </w:tc>
        <w:tc>
          <w:tcPr>
            <w:tcW w:w="50" w:type="pct"/>
            <w:shd w:val="clear" w:color="auto" w:fill="FFFFFF"/>
            <w:hideMark/>
          </w:tcPr>
          <w:p w14:paraId="7ED9617D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747DEE32" w14:textId="77777777" w:rsidR="00000000" w:rsidRDefault="00CE1551">
            <w:pPr>
              <w:ind w:firstLine="178"/>
            </w:pPr>
            <w:r>
              <w:t>15000 AQSh dollari (har yili 15-yanvar kuni);</w:t>
            </w:r>
          </w:p>
        </w:tc>
      </w:tr>
      <w:tr w:rsidR="00000000" w14:paraId="4410264E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7B302A6A" w14:textId="77777777" w:rsidR="00000000" w:rsidRDefault="00CE1551">
            <w:pPr>
              <w:ind w:left="134"/>
              <w:jc w:val="both"/>
            </w:pPr>
            <w:r>
              <w:t>Yuridik xarajatlar</w:t>
            </w:r>
          </w:p>
        </w:tc>
        <w:tc>
          <w:tcPr>
            <w:tcW w:w="50" w:type="pct"/>
            <w:shd w:val="clear" w:color="auto" w:fill="FFFFFF"/>
            <w:hideMark/>
          </w:tcPr>
          <w:p w14:paraId="01D8125B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5944EB9F" w14:textId="77777777" w:rsidR="00000000" w:rsidRDefault="00CE1551">
            <w:pPr>
              <w:ind w:firstLine="178"/>
            </w:pPr>
            <w:r>
              <w:t>100000 AQSh dollarov;</w:t>
            </w:r>
          </w:p>
        </w:tc>
      </w:tr>
      <w:tr w:rsidR="00000000" w14:paraId="4CC54C3D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3A9A4C43" w14:textId="77777777" w:rsidR="00000000" w:rsidRDefault="00CE1551">
            <w:pPr>
              <w:ind w:left="134"/>
              <w:jc w:val="both"/>
            </w:pPr>
            <w:r>
              <w:t>NEXI sug‘urta mukofoti bo‘yicha xarajatlar</w:t>
            </w:r>
          </w:p>
        </w:tc>
        <w:tc>
          <w:tcPr>
            <w:tcW w:w="50" w:type="pct"/>
            <w:shd w:val="clear" w:color="auto" w:fill="FFFFFF"/>
            <w:hideMark/>
          </w:tcPr>
          <w:p w14:paraId="4C6C7C95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78F43C96" w14:textId="77777777" w:rsidR="00000000" w:rsidRDefault="00CE1551">
            <w:pPr>
              <w:ind w:firstLine="178"/>
            </w:pPr>
            <w:r>
              <w:t>Kredit summasining 6,697 foizi, bir vaqtning o‘zida</w:t>
            </w:r>
            <w:hyperlink r:id="rId8" w:history="1">
              <w:r>
                <w:rPr>
                  <w:color w:val="008080"/>
                </w:rPr>
                <w:t>*</w:t>
              </w:r>
            </w:hyperlink>
            <w:r>
              <w:t>;</w:t>
            </w:r>
          </w:p>
        </w:tc>
      </w:tr>
      <w:tr w:rsidR="00000000" w14:paraId="79DF3586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480AA2D7" w14:textId="77777777" w:rsidR="00000000" w:rsidRDefault="00CE1551">
            <w:pPr>
              <w:ind w:left="134"/>
              <w:jc w:val="both"/>
            </w:pPr>
            <w:r>
              <w:t>Majburiyat uchun vositachilik haqi</w:t>
            </w:r>
          </w:p>
        </w:tc>
        <w:tc>
          <w:tcPr>
            <w:tcW w:w="50" w:type="pct"/>
            <w:shd w:val="clear" w:color="auto" w:fill="FFFFFF"/>
            <w:hideMark/>
          </w:tcPr>
          <w:p w14:paraId="5B15F469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744E45F8" w14:textId="77777777" w:rsidR="00000000" w:rsidRDefault="00CE1551">
            <w:pPr>
              <w:ind w:firstLine="178"/>
            </w:pPr>
            <w:r>
              <w:t>yillik 0,20 foiz (shu jumladan bank marjasi 0,0 foiz);</w:t>
            </w:r>
          </w:p>
        </w:tc>
      </w:tr>
      <w:tr w:rsidR="00000000" w14:paraId="166DA5A2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03154E65" w14:textId="77777777" w:rsidR="00000000" w:rsidRDefault="00CE1551">
            <w:pPr>
              <w:ind w:left="134"/>
              <w:jc w:val="both"/>
            </w:pPr>
            <w:r>
              <w:t>Tashkil etish uchun vositachilik haqi</w:t>
            </w:r>
          </w:p>
        </w:tc>
        <w:tc>
          <w:tcPr>
            <w:tcW w:w="50" w:type="pct"/>
            <w:shd w:val="clear" w:color="auto" w:fill="FFFFFF"/>
            <w:hideMark/>
          </w:tcPr>
          <w:p w14:paraId="636D1DC7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6C1C5820" w14:textId="77777777" w:rsidR="00000000" w:rsidRDefault="00CE1551">
            <w:pPr>
              <w:ind w:firstLine="178"/>
            </w:pPr>
            <w:r>
              <w:t>bir vaqtning o‘zida 0,80% (shu jumladan bank marjasi 0,0 foiz).</w:t>
            </w:r>
          </w:p>
        </w:tc>
      </w:tr>
    </w:tbl>
    <w:p w14:paraId="077801CF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vanish/>
          <w:color w:val="000000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22"/>
        <w:gridCol w:w="675"/>
        <w:gridCol w:w="1055"/>
        <w:gridCol w:w="722"/>
        <w:gridCol w:w="1042"/>
        <w:gridCol w:w="1016"/>
        <w:gridCol w:w="1535"/>
        <w:gridCol w:w="1059"/>
      </w:tblGrid>
      <w:tr w:rsidR="00000000" w14:paraId="7B0A7644" w14:textId="77777777">
        <w:trPr>
          <w:divId w:val="742142070"/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A2064" w14:textId="77777777" w:rsidR="00000000" w:rsidRDefault="00CE1551">
            <w:pPr>
              <w:jc w:val="center"/>
            </w:pPr>
            <w:r>
              <w:rPr>
                <w:b/>
                <w:bCs/>
              </w:rPr>
              <w:t>To‘lo</w:t>
            </w:r>
            <w:r>
              <w:rPr>
                <w:b/>
                <w:bCs/>
              </w:rPr>
              <w:t>v davri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96D07" w14:textId="77777777" w:rsidR="00000000" w:rsidRDefault="00CE1551">
            <w:pPr>
              <w:jc w:val="center"/>
            </w:pPr>
            <w:r>
              <w:rPr>
                <w:b/>
                <w:bCs/>
              </w:rPr>
              <w:t>Kredit summasi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87111" w14:textId="77777777" w:rsidR="00000000" w:rsidRDefault="00CE1551">
            <w:pPr>
              <w:jc w:val="center"/>
            </w:pPr>
            <w:r>
              <w:rPr>
                <w:b/>
                <w:bCs/>
              </w:rPr>
              <w:t>Tanlab olish</w:t>
            </w:r>
            <w:hyperlink r:id="rId9" w:history="1">
              <w:r>
                <w:rPr>
                  <w:b/>
                  <w:bCs/>
                  <w:color w:val="008080"/>
                </w:rPr>
                <w:t>**</w:t>
              </w:r>
            </w:hyperlink>
          </w:p>
        </w:tc>
        <w:tc>
          <w:tcPr>
            <w:tcW w:w="850" w:type="pct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E69CFA" w14:textId="77777777" w:rsidR="00000000" w:rsidRDefault="00CE1551">
            <w:pPr>
              <w:jc w:val="center"/>
            </w:pPr>
            <w:r>
              <w:rPr>
                <w:b/>
                <w:bCs/>
              </w:rPr>
              <w:t>To‘lovlar summasi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0E9C6" w14:textId="77777777" w:rsidR="00000000" w:rsidRDefault="00CE1551">
            <w:pPr>
              <w:jc w:val="center"/>
            </w:pPr>
            <w:r>
              <w:rPr>
                <w:b/>
                <w:bCs/>
              </w:rPr>
              <w:t>Vositachilik haqi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551A8" w14:textId="77777777" w:rsidR="00000000" w:rsidRDefault="00CE1551">
            <w:pPr>
              <w:jc w:val="center"/>
            </w:pPr>
            <w:r>
              <w:rPr>
                <w:b/>
                <w:bCs/>
              </w:rPr>
              <w:t>To‘lanishi lozim bo‘lgan asosiy summa</w:t>
            </w:r>
          </w:p>
        </w:tc>
      </w:tr>
      <w:tr w:rsidR="00000000" w14:paraId="35D0F2AF" w14:textId="77777777">
        <w:trPr>
          <w:divId w:val="7421420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7FF8B" w14:textId="77777777" w:rsidR="00000000" w:rsidRDefault="00CE1551"/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3669D" w14:textId="77777777" w:rsidR="00000000" w:rsidRDefault="00CE1551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47D2F" w14:textId="77777777" w:rsidR="00000000" w:rsidRDefault="00CE1551">
            <w:pPr>
              <w:jc w:val="center"/>
            </w:pPr>
            <w:r>
              <w:rPr>
                <w:b/>
                <w:bCs/>
              </w:rPr>
              <w:t>jami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36058" w14:textId="77777777" w:rsidR="00000000" w:rsidRDefault="00CE1551">
            <w:pPr>
              <w:jc w:val="center"/>
            </w:pPr>
            <w:r>
              <w:rPr>
                <w:b/>
                <w:bCs/>
              </w:rPr>
              <w:t>shu jumladan</w:t>
            </w:r>
          </w:p>
          <w:p w14:paraId="6713FBDD" w14:textId="77777777" w:rsidR="00000000" w:rsidRDefault="00CE1551">
            <w:pPr>
              <w:jc w:val="center"/>
            </w:pPr>
            <w:r>
              <w:rPr>
                <w:b/>
                <w:bCs/>
              </w:rPr>
              <w:t>NEXI sug‘urta mukofoti bo‘yicha xarajatlar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23CB5" w14:textId="77777777" w:rsidR="00000000" w:rsidRDefault="00CE1551">
            <w:pPr>
              <w:jc w:val="center"/>
            </w:pPr>
            <w:r>
              <w:rPr>
                <w:b/>
                <w:bCs/>
              </w:rPr>
              <w:t>Asosiy qarz</w:t>
            </w:r>
            <w:hyperlink r:id="rId10" w:history="1">
              <w:r>
                <w:rPr>
                  <w:b/>
                  <w:bCs/>
                  <w:color w:val="008080"/>
                </w:rPr>
                <w:t>**</w:t>
              </w:r>
            </w:hyperlink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FA30D" w14:textId="77777777" w:rsidR="00000000" w:rsidRDefault="00CE1551">
            <w:pPr>
              <w:jc w:val="center"/>
            </w:pPr>
            <w:r>
              <w:rPr>
                <w:b/>
                <w:bCs/>
              </w:rPr>
              <w:t>foizlar</w:t>
            </w:r>
            <w:hyperlink r:id="rId11" w:history="1">
              <w:r>
                <w:rPr>
                  <w:b/>
                  <w:bCs/>
                  <w:color w:val="008080"/>
                </w:rPr>
                <w:t>***</w:t>
              </w:r>
            </w:hyperlink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F0582" w14:textId="77777777" w:rsidR="00000000" w:rsidRDefault="00CE1551">
            <w:pPr>
              <w:jc w:val="center"/>
            </w:pPr>
            <w:r>
              <w:rPr>
                <w:b/>
                <w:bCs/>
              </w:rPr>
              <w:t>Tashkil etish uchun</w:t>
            </w:r>
            <w:hyperlink r:id="rId12" w:history="1">
              <w:r>
                <w:rPr>
                  <w:b/>
                  <w:bCs/>
                  <w:color w:val="008080"/>
                </w:rPr>
                <w:t>***</w:t>
              </w:r>
            </w:hyperlink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339A0" w14:textId="77777777" w:rsidR="00000000" w:rsidRDefault="00CE1551">
            <w:pPr>
              <w:jc w:val="center"/>
            </w:pPr>
            <w:r>
              <w:rPr>
                <w:b/>
                <w:bCs/>
              </w:rPr>
              <w:t>Agentlik va yuridik xarajatlar</w:t>
            </w:r>
            <w:hyperlink r:id="rId13" w:history="1">
              <w:r>
                <w:rPr>
                  <w:b/>
                  <w:bCs/>
                  <w:color w:val="008080"/>
                </w:rPr>
                <w:t>****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766A19" w14:textId="77777777" w:rsidR="00000000" w:rsidRDefault="00CE1551"/>
        </w:tc>
      </w:tr>
      <w:tr w:rsidR="00000000" w14:paraId="615FA555" w14:textId="77777777">
        <w:trPr>
          <w:divId w:val="742142070"/>
          <w:trHeight w:val="6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FB06DB" w14:textId="77777777" w:rsidR="00000000" w:rsidRDefault="00CE1551">
            <w:pPr>
              <w:ind w:left="225" w:right="90"/>
            </w:pPr>
            <w:r>
              <w:t>2017 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42CCE2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BAE554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FC7838" w14:textId="77777777" w:rsidR="00000000" w:rsidRDefault="00CE1551">
            <w:pPr>
              <w:jc w:val="center"/>
            </w:pPr>
            <w:r>
              <w:t>1,456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9CD8BC" w14:textId="77777777" w:rsidR="00000000" w:rsidRDefault="00CE1551">
            <w:pPr>
              <w:jc w:val="center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33565A" w14:textId="77777777" w:rsidR="00000000" w:rsidRDefault="00CE1551">
            <w:pPr>
              <w:jc w:val="center"/>
            </w:pPr>
            <w:r>
              <w:t>0,000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847B10" w14:textId="77777777" w:rsidR="00000000" w:rsidRDefault="00CE1551">
            <w:pPr>
              <w:jc w:val="center"/>
            </w:pPr>
            <w:r>
              <w:t>0,174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1C96A" w14:textId="77777777" w:rsidR="00000000" w:rsidRDefault="00CE1551">
            <w:pPr>
              <w:jc w:val="center"/>
            </w:pPr>
            <w:r>
              <w:t>0,115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48AE9D" w14:textId="77777777" w:rsidR="00000000" w:rsidRDefault="00CE1551">
            <w:pPr>
              <w:jc w:val="center"/>
            </w:pPr>
            <w:r>
              <w:t>0,289</w:t>
            </w:r>
          </w:p>
        </w:tc>
      </w:tr>
      <w:tr w:rsidR="00000000" w14:paraId="23667AD6" w14:textId="77777777">
        <w:trPr>
          <w:divId w:val="742142070"/>
          <w:trHeight w:val="6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56A817" w14:textId="77777777" w:rsidR="00000000" w:rsidRDefault="00CE1551">
            <w:pPr>
              <w:ind w:left="225" w:right="90"/>
            </w:pPr>
            <w:r>
              <w:t>2017 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7B37A5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12A51C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54F9D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027332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0A0BD2" w14:textId="77777777" w:rsidR="00000000" w:rsidRDefault="00CE1551">
            <w:pPr>
              <w:jc w:val="center"/>
            </w:pPr>
            <w:r>
              <w:t>0,029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745C25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FFBDCC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212A74" w14:textId="77777777" w:rsidR="00000000" w:rsidRDefault="00CE1551">
            <w:pPr>
              <w:jc w:val="center"/>
            </w:pPr>
            <w:r>
              <w:t>0,029</w:t>
            </w:r>
          </w:p>
        </w:tc>
      </w:tr>
      <w:tr w:rsidR="00000000" w14:paraId="76DD9D86" w14:textId="77777777">
        <w:trPr>
          <w:divId w:val="742142070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831D4A" w14:textId="77777777" w:rsidR="00000000" w:rsidRDefault="00CE1551">
            <w:pPr>
              <w:ind w:left="225" w:right="90"/>
            </w:pPr>
            <w:r>
              <w:t>2018y.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07668B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F5A0FD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DD01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95F04E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30BF46" w14:textId="77777777" w:rsidR="00000000" w:rsidRDefault="00CE1551">
            <w:pPr>
              <w:jc w:val="center"/>
            </w:pPr>
            <w:r>
              <w:t>0,164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26993A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D113C5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F05445" w14:textId="77777777" w:rsidR="00000000" w:rsidRDefault="00CE1551">
            <w:pPr>
              <w:jc w:val="center"/>
            </w:pPr>
            <w:r>
              <w:t>0,179</w:t>
            </w:r>
          </w:p>
        </w:tc>
      </w:tr>
      <w:tr w:rsidR="00000000" w14:paraId="3F9B36B8" w14:textId="77777777">
        <w:trPr>
          <w:divId w:val="742142070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F1224E" w14:textId="77777777" w:rsidR="00000000" w:rsidRDefault="00CE1551">
            <w:pPr>
              <w:ind w:left="225" w:right="90"/>
            </w:pPr>
            <w:r>
              <w:lastRenderedPageBreak/>
              <w:t>2018y.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BDD14A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13049C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A4B0E8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23A51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828562" w14:textId="77777777" w:rsidR="00000000" w:rsidRDefault="00CE1551">
            <w:pPr>
              <w:jc w:val="center"/>
            </w:pPr>
            <w:r>
              <w:t>0,161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43C264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853C3C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64B5B1" w14:textId="77777777" w:rsidR="00000000" w:rsidRDefault="00CE1551">
            <w:pPr>
              <w:jc w:val="center"/>
            </w:pPr>
            <w:r>
              <w:t>0,161</w:t>
            </w:r>
          </w:p>
        </w:tc>
      </w:tr>
      <w:tr w:rsidR="00000000" w14:paraId="5AB8FCD8" w14:textId="77777777">
        <w:trPr>
          <w:divId w:val="742142070"/>
          <w:trHeight w:val="158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8F0E94" w14:textId="77777777" w:rsidR="00000000" w:rsidRDefault="00CE1551">
            <w:pPr>
              <w:ind w:left="225" w:right="90"/>
            </w:pPr>
            <w:r>
              <w:t>2019y.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2F2685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E5A597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0E739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742FC2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58F427" w14:textId="77777777" w:rsidR="00000000" w:rsidRDefault="00CE1551">
            <w:pPr>
              <w:jc w:val="center"/>
            </w:pPr>
            <w:r>
              <w:t>0,161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9B4B5E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A72EC3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B9D1F9" w14:textId="77777777" w:rsidR="00000000" w:rsidRDefault="00CE1551">
            <w:pPr>
              <w:jc w:val="center"/>
            </w:pPr>
            <w:r>
              <w:t>0,179</w:t>
            </w:r>
          </w:p>
        </w:tc>
      </w:tr>
      <w:tr w:rsidR="00000000" w14:paraId="6FC9C7A7" w14:textId="77777777">
        <w:trPr>
          <w:divId w:val="742142070"/>
          <w:trHeight w:val="137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C8DDF0" w14:textId="77777777" w:rsidR="00000000" w:rsidRDefault="00CE1551">
            <w:pPr>
              <w:ind w:left="225" w:right="90"/>
            </w:pPr>
            <w:r>
              <w:t>2019y.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F6F025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677881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86EE7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78148B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B8D7E2" w14:textId="77777777" w:rsidR="00000000" w:rsidRDefault="00CE1551">
            <w:pPr>
              <w:jc w:val="center"/>
            </w:pPr>
            <w:r>
              <w:t>0,161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3EEC92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064CFE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C48FB4" w14:textId="77777777" w:rsidR="00000000" w:rsidRDefault="00CE1551">
            <w:pPr>
              <w:jc w:val="center"/>
            </w:pPr>
            <w:r>
              <w:t>0,161</w:t>
            </w:r>
          </w:p>
        </w:tc>
      </w:tr>
      <w:tr w:rsidR="00000000" w14:paraId="2C05C9B1" w14:textId="77777777">
        <w:trPr>
          <w:divId w:val="742142070"/>
          <w:trHeight w:val="6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FD34A6" w14:textId="77777777" w:rsidR="00000000" w:rsidRDefault="00CE1551">
            <w:pPr>
              <w:ind w:left="225" w:right="90"/>
            </w:pPr>
            <w:r>
              <w:t>2020y.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99C32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4A067B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E747C4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B9150E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696E76" w14:textId="77777777" w:rsidR="00000000" w:rsidRDefault="00CE1551">
            <w:pPr>
              <w:jc w:val="center"/>
            </w:pPr>
            <w:r>
              <w:t>0,164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BF7D6F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3BD9A0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18A1D8" w14:textId="77777777" w:rsidR="00000000" w:rsidRDefault="00CE1551">
            <w:pPr>
              <w:jc w:val="center"/>
            </w:pPr>
            <w:r>
              <w:t>0,179</w:t>
            </w:r>
          </w:p>
        </w:tc>
      </w:tr>
      <w:tr w:rsidR="00000000" w14:paraId="6E33843C" w14:textId="77777777">
        <w:trPr>
          <w:divId w:val="742142070"/>
          <w:trHeight w:val="262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174631" w14:textId="77777777" w:rsidR="00000000" w:rsidRDefault="00CE1551">
            <w:pPr>
              <w:ind w:left="225" w:right="90"/>
            </w:pPr>
            <w:r>
              <w:t>2020y.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ECBD2A" w14:textId="77777777" w:rsidR="00000000" w:rsidRDefault="00CE1551">
            <w:pPr>
              <w:jc w:val="center"/>
            </w:pPr>
            <w:r>
              <w:t>21,739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21B55F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37D16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6A5395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15672E" w14:textId="77777777" w:rsidR="00000000" w:rsidRDefault="00CE1551">
            <w:pPr>
              <w:jc w:val="center"/>
            </w:pPr>
            <w:r>
              <w:t>0,162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4007D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339EC4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5E997F" w14:textId="77777777" w:rsidR="00000000" w:rsidRDefault="00CE1551">
            <w:pPr>
              <w:jc w:val="center"/>
            </w:pPr>
            <w:r>
              <w:t>2,578</w:t>
            </w:r>
          </w:p>
        </w:tc>
      </w:tr>
      <w:tr w:rsidR="00000000" w14:paraId="76FEB521" w14:textId="77777777">
        <w:trPr>
          <w:divId w:val="742142070"/>
          <w:trHeight w:val="229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64EF9A" w14:textId="77777777" w:rsidR="00000000" w:rsidRDefault="00CE1551">
            <w:pPr>
              <w:ind w:left="225" w:right="90"/>
            </w:pPr>
            <w:r>
              <w:t>2021y.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48BFE3" w14:textId="77777777" w:rsidR="00000000" w:rsidRDefault="00CE1551">
            <w:pPr>
              <w:jc w:val="center"/>
            </w:pPr>
            <w:r>
              <w:t>19,324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F6323E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F2590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4D4518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60795E" w14:textId="77777777" w:rsidR="00000000" w:rsidRDefault="00CE1551">
            <w:pPr>
              <w:jc w:val="center"/>
            </w:pPr>
            <w:r>
              <w:t>0,146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1CE835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052A06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29E9E5" w14:textId="77777777" w:rsidR="00000000" w:rsidRDefault="00CE1551">
            <w:pPr>
              <w:jc w:val="center"/>
            </w:pPr>
            <w:r>
              <w:t>2,576</w:t>
            </w:r>
          </w:p>
        </w:tc>
      </w:tr>
      <w:tr w:rsidR="00000000" w14:paraId="2F254D5C" w14:textId="77777777">
        <w:trPr>
          <w:divId w:val="742142070"/>
          <w:trHeight w:val="6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77A302" w14:textId="77777777" w:rsidR="00000000" w:rsidRDefault="00CE1551">
            <w:pPr>
              <w:ind w:left="225" w:right="90"/>
            </w:pPr>
            <w:r>
              <w:t>2021y.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B54C7C" w14:textId="77777777" w:rsidR="00000000" w:rsidRDefault="00CE1551">
            <w:pPr>
              <w:jc w:val="center"/>
            </w:pPr>
            <w:r>
              <w:t>16,908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43F2D5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C7C1A7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5CE948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6E18D1" w14:textId="77777777" w:rsidR="00000000" w:rsidRDefault="00CE1551">
            <w:pPr>
              <w:jc w:val="center"/>
            </w:pPr>
            <w:r>
              <w:t>0,125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BAE376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B52864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DB6E5A" w14:textId="77777777" w:rsidR="00000000" w:rsidRDefault="00CE1551">
            <w:pPr>
              <w:jc w:val="center"/>
            </w:pPr>
            <w:r>
              <w:t>2,541</w:t>
            </w:r>
          </w:p>
        </w:tc>
      </w:tr>
      <w:tr w:rsidR="00000000" w14:paraId="2A228D19" w14:textId="77777777">
        <w:trPr>
          <w:divId w:val="742142070"/>
          <w:trHeight w:val="17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159405" w14:textId="77777777" w:rsidR="00000000" w:rsidRDefault="00CE1551">
            <w:pPr>
              <w:ind w:left="225" w:right="90"/>
            </w:pPr>
            <w:r>
              <w:t>2022y.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DC563C" w14:textId="77777777" w:rsidR="00000000" w:rsidRDefault="00CE1551">
            <w:pPr>
              <w:jc w:val="center"/>
            </w:pPr>
            <w:r>
              <w:t>14,493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E53483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1C2A9B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9B4BCF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B81353" w14:textId="77777777" w:rsidR="00000000" w:rsidRDefault="00CE1551">
            <w:pPr>
              <w:jc w:val="center"/>
            </w:pPr>
            <w:r>
              <w:t>0,109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CA29CD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B25E5C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DAD4CE" w14:textId="77777777" w:rsidR="00000000" w:rsidRDefault="00CE1551">
            <w:pPr>
              <w:jc w:val="center"/>
            </w:pPr>
            <w:r>
              <w:t>2,540</w:t>
            </w:r>
          </w:p>
        </w:tc>
      </w:tr>
      <w:tr w:rsidR="00000000" w14:paraId="19EDBE4D" w14:textId="77777777">
        <w:trPr>
          <w:divId w:val="742142070"/>
          <w:trHeight w:val="154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8BBCA5" w14:textId="77777777" w:rsidR="00000000" w:rsidRDefault="00CE1551">
            <w:pPr>
              <w:ind w:left="225" w:right="90"/>
            </w:pPr>
            <w:r>
              <w:t xml:space="preserve">2022y. II </w:t>
            </w:r>
            <w:r>
              <w:t>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D0C123" w14:textId="77777777" w:rsidR="00000000" w:rsidRDefault="00CE1551">
            <w:pPr>
              <w:jc w:val="center"/>
            </w:pPr>
            <w:r>
              <w:t>12,077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8E2239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C3BBA0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01B792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EC6310" w14:textId="77777777" w:rsidR="00000000" w:rsidRDefault="00CE1551">
            <w:pPr>
              <w:jc w:val="center"/>
            </w:pPr>
            <w:r>
              <w:t>0,090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A11C93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D22358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A2CF0B" w14:textId="77777777" w:rsidR="00000000" w:rsidRDefault="00CE1551">
            <w:pPr>
              <w:jc w:val="center"/>
            </w:pPr>
            <w:r>
              <w:t>2,505</w:t>
            </w:r>
          </w:p>
        </w:tc>
      </w:tr>
      <w:tr w:rsidR="00000000" w14:paraId="36A2F8A0" w14:textId="77777777">
        <w:trPr>
          <w:divId w:val="742142070"/>
          <w:trHeight w:val="120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AA59A0" w14:textId="77777777" w:rsidR="00000000" w:rsidRDefault="00CE1551">
            <w:pPr>
              <w:ind w:left="225" w:right="90"/>
            </w:pPr>
            <w:r>
              <w:t>2023y.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3D3E2B" w14:textId="77777777" w:rsidR="00000000" w:rsidRDefault="00CE1551">
            <w:pPr>
              <w:jc w:val="center"/>
            </w:pPr>
            <w:r>
              <w:t>9,662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86D8CD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3820DE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51A9CF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EC36C6" w14:textId="77777777" w:rsidR="00000000" w:rsidRDefault="00CE1551">
            <w:pPr>
              <w:jc w:val="center"/>
            </w:pPr>
            <w:r>
              <w:t>0,073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FE3C32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582413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6CEBE8" w14:textId="77777777" w:rsidR="00000000" w:rsidRDefault="00CE1551">
            <w:pPr>
              <w:jc w:val="center"/>
            </w:pPr>
            <w:r>
              <w:t>2,503</w:t>
            </w:r>
          </w:p>
        </w:tc>
      </w:tr>
      <w:tr w:rsidR="00000000" w14:paraId="3F20AD2F" w14:textId="77777777">
        <w:trPr>
          <w:divId w:val="742142070"/>
          <w:trHeight w:val="6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28E7B2" w14:textId="77777777" w:rsidR="00000000" w:rsidRDefault="00CE1551">
            <w:pPr>
              <w:ind w:left="225" w:right="90"/>
            </w:pPr>
            <w:r>
              <w:t>2023y.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4D5BC6" w14:textId="77777777" w:rsidR="00000000" w:rsidRDefault="00CE1551">
            <w:pPr>
              <w:jc w:val="center"/>
            </w:pPr>
            <w:r>
              <w:t>7,246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C6990B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E9F3D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3D6052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A4E701" w14:textId="77777777" w:rsidR="00000000" w:rsidRDefault="00CE1551">
            <w:pPr>
              <w:jc w:val="center"/>
            </w:pPr>
            <w:r>
              <w:t>0,054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3EFA91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1F410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0F6849" w14:textId="77777777" w:rsidR="00000000" w:rsidRDefault="00CE1551">
            <w:pPr>
              <w:jc w:val="center"/>
            </w:pPr>
            <w:r>
              <w:t>2,469</w:t>
            </w:r>
          </w:p>
        </w:tc>
      </w:tr>
      <w:tr w:rsidR="00000000" w14:paraId="285DFEA4" w14:textId="77777777">
        <w:trPr>
          <w:divId w:val="742142070"/>
          <w:trHeight w:val="67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A0B6CB" w14:textId="77777777" w:rsidR="00000000" w:rsidRDefault="00CE1551">
            <w:pPr>
              <w:ind w:left="225" w:right="90"/>
            </w:pPr>
            <w:r>
              <w:t>2024y. 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9177F8" w14:textId="77777777" w:rsidR="00000000" w:rsidRDefault="00CE1551">
            <w:pPr>
              <w:jc w:val="center"/>
            </w:pPr>
            <w:r>
              <w:t>4,831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B41FFE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3BFDE9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8894AF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BCCA87" w14:textId="77777777" w:rsidR="00000000" w:rsidRDefault="00CE1551">
            <w:pPr>
              <w:jc w:val="center"/>
            </w:pPr>
            <w:r>
              <w:t>0,036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B2656C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9CBE8" w14:textId="77777777" w:rsidR="00000000" w:rsidRDefault="00CE1551">
            <w:pPr>
              <w:jc w:val="center"/>
            </w:pPr>
            <w:r>
              <w:t>0,015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405DE0" w14:textId="77777777" w:rsidR="00000000" w:rsidRDefault="00CE1551">
            <w:pPr>
              <w:jc w:val="center"/>
            </w:pPr>
            <w:r>
              <w:t>2,467</w:t>
            </w:r>
          </w:p>
        </w:tc>
      </w:tr>
      <w:tr w:rsidR="00000000" w14:paraId="2C155E82" w14:textId="77777777">
        <w:trPr>
          <w:divId w:val="742142070"/>
          <w:trHeight w:val="65"/>
          <w:jc w:val="center"/>
        </w:trPr>
        <w:tc>
          <w:tcPr>
            <w:tcW w:w="11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FEB01F" w14:textId="77777777" w:rsidR="00000000" w:rsidRDefault="00CE1551">
            <w:pPr>
              <w:ind w:left="225" w:right="90"/>
            </w:pPr>
            <w:r>
              <w:t>2024y. II yarim yillik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B7673C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0037B3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658BC5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AFD1D2" w14:textId="77777777" w:rsidR="00000000" w:rsidRDefault="00CE1551">
            <w:pPr>
              <w:jc w:val="center"/>
            </w:pPr>
            <w:r>
              <w:t>2,415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1232E" w14:textId="77777777" w:rsidR="00000000" w:rsidRDefault="00CE1551">
            <w:pPr>
              <w:jc w:val="center"/>
            </w:pPr>
            <w:r>
              <w:t>0,018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7F76E7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013192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D7639D" w14:textId="77777777" w:rsidR="00000000" w:rsidRDefault="00CE1551">
            <w:pPr>
              <w:jc w:val="center"/>
            </w:pPr>
            <w:r>
              <w:t>2,433</w:t>
            </w:r>
          </w:p>
        </w:tc>
      </w:tr>
      <w:tr w:rsidR="00000000" w14:paraId="0F45D199" w14:textId="77777777">
        <w:trPr>
          <w:divId w:val="742142070"/>
          <w:jc w:val="center"/>
        </w:trPr>
        <w:tc>
          <w:tcPr>
            <w:tcW w:w="1550" w:type="pct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D76290" w14:textId="77777777" w:rsidR="00000000" w:rsidRDefault="00CE1551">
            <w:pPr>
              <w:keepNext/>
              <w:jc w:val="center"/>
            </w:pPr>
            <w:r>
              <w:rPr>
                <w:b/>
                <w:bCs/>
              </w:rPr>
              <w:t>Jami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ED1723" w14:textId="77777777" w:rsidR="00000000" w:rsidRDefault="00CE1551">
            <w:pPr>
              <w:jc w:val="center"/>
            </w:pPr>
            <w:r>
              <w:rPr>
                <w:b/>
                <w:bCs/>
              </w:rPr>
              <w:t>21,739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9D77F9" w14:textId="77777777" w:rsidR="00000000" w:rsidRDefault="00CE1551">
            <w:pPr>
              <w:jc w:val="center"/>
            </w:pPr>
            <w:r>
              <w:rPr>
                <w:b/>
                <w:bCs/>
              </w:rPr>
              <w:t>1,456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1078A1" w14:textId="77777777" w:rsidR="00000000" w:rsidRDefault="00CE1551">
            <w:pPr>
              <w:jc w:val="center"/>
            </w:pPr>
            <w:r>
              <w:rPr>
                <w:b/>
                <w:bCs/>
              </w:rPr>
              <w:t>21,739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F084FD" w14:textId="77777777" w:rsidR="00000000" w:rsidRDefault="00CE1551">
            <w:pPr>
              <w:jc w:val="center"/>
            </w:pPr>
            <w:r>
              <w:rPr>
                <w:b/>
                <w:bCs/>
              </w:rPr>
              <w:t>1,656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2AC935" w14:textId="77777777" w:rsidR="00000000" w:rsidRDefault="00CE1551">
            <w:pPr>
              <w:jc w:val="center"/>
            </w:pPr>
            <w:r>
              <w:rPr>
                <w:b/>
                <w:bCs/>
              </w:rPr>
              <w:t>0,174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75D44A" w14:textId="77777777" w:rsidR="00000000" w:rsidRDefault="00CE1551">
            <w:pPr>
              <w:jc w:val="center"/>
            </w:pPr>
            <w:r>
              <w:rPr>
                <w:b/>
                <w:bCs/>
              </w:rPr>
              <w:t>0,220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5DF326" w14:textId="77777777" w:rsidR="00000000" w:rsidRDefault="00CE1551">
            <w:pPr>
              <w:jc w:val="center"/>
            </w:pPr>
            <w:r>
              <w:rPr>
                <w:b/>
                <w:bCs/>
              </w:rPr>
              <w:t>23,789</w:t>
            </w:r>
          </w:p>
        </w:tc>
      </w:tr>
    </w:tbl>
    <w:p w14:paraId="0486976E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 Stavka 2016-yil 9-dekabr holati bo‘yicha ko‘rsatilgan, qarz bitimini tuzish kunidan kelib chiqqan holda aniqlashtiriladi.</w:t>
      </w:r>
    </w:p>
    <w:p w14:paraId="3A6BF6F5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** Asosiy qarzni so‘ndirish kredit bitimi kuchga kirishi va birinchi tanlov sanasiga bog‘liq.</w:t>
      </w:r>
    </w:p>
    <w:p w14:paraId="5AEDDDFC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*** Vositachilik va foizlar haqi kredi</w:t>
      </w:r>
      <w:r>
        <w:rPr>
          <w:rFonts w:eastAsia="Times New Roman"/>
          <w:color w:val="339966"/>
          <w:sz w:val="20"/>
          <w:szCs w:val="20"/>
        </w:rPr>
        <w:t>tni tanlab olish amaldagi summasiga, 6 oylik LIBOR stavkasi (yena) va JPY/USD valyutalari kursiga bog‘liq holda aniqlanadi.</w:t>
      </w:r>
    </w:p>
    <w:p w14:paraId="7269E33C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**** Bozor standarti qo‘llanishi hamda tashqi yuridik konsultantning ishtiroki zaruratini hisobga olgan holda.</w:t>
      </w:r>
    </w:p>
    <w:p w14:paraId="633F7B11" w14:textId="77777777" w:rsidR="00000000" w:rsidRDefault="00CE1551">
      <w:pPr>
        <w:shd w:val="clear" w:color="auto" w:fill="FFFFFF"/>
        <w:jc w:val="center"/>
        <w:divId w:val="314797781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O‘zbekiston Respublik</w:t>
      </w:r>
      <w:r>
        <w:rPr>
          <w:rFonts w:eastAsia="Times New Roman"/>
          <w:color w:val="000080"/>
          <w:sz w:val="22"/>
          <w:szCs w:val="22"/>
        </w:rPr>
        <w:t xml:space="preserve">asi Prezidentining 2017-yil 24-iyuldagi PQ-3146-son </w:t>
      </w:r>
      <w:hyperlink r:id="rId14" w:history="1">
        <w:r>
          <w:rPr>
            <w:rFonts w:eastAsia="Times New Roman"/>
            <w:color w:val="008080"/>
            <w:sz w:val="22"/>
            <w:szCs w:val="22"/>
          </w:rPr>
          <w:t xml:space="preserve">qaroriga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2-ILOVA</w:t>
      </w:r>
    </w:p>
    <w:p w14:paraId="15612833" w14:textId="77777777" w:rsidR="00000000" w:rsidRDefault="00CE1551">
      <w:pPr>
        <w:shd w:val="clear" w:color="auto" w:fill="FFFFFF"/>
        <w:jc w:val="center"/>
        <w:divId w:val="403842635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“Sommerzbank” (Germaniya) va “Credit Suisse” (Shveysariya) banklari konsorsiumi krediti bo‘yicha asosiy qarzni so‘ndirish, foizlarni va vositachil</w:t>
      </w:r>
      <w:r>
        <w:rPr>
          <w:rFonts w:eastAsia="Times New Roman"/>
          <w:b/>
          <w:bCs/>
          <w:color w:val="000080"/>
        </w:rPr>
        <w:t xml:space="preserve">ik haqini to‘lashning </w:t>
      </w:r>
    </w:p>
    <w:p w14:paraId="4B4FEB04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PROGNOZ JADVALI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40"/>
        <w:gridCol w:w="6647"/>
      </w:tblGrid>
      <w:tr w:rsidR="00000000" w14:paraId="26A641C2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53F7E506" w14:textId="77777777" w:rsidR="00000000" w:rsidRDefault="00CE1551">
            <w:pPr>
              <w:ind w:left="275"/>
            </w:pPr>
            <w:r>
              <w:t>Kredit summasi</w:t>
            </w:r>
          </w:p>
        </w:tc>
        <w:tc>
          <w:tcPr>
            <w:tcW w:w="50" w:type="pct"/>
            <w:shd w:val="clear" w:color="auto" w:fill="FFFFFF"/>
            <w:hideMark/>
          </w:tcPr>
          <w:p w14:paraId="6819F896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4762716D" w14:textId="77777777" w:rsidR="00000000" w:rsidRDefault="00CE1551">
            <w:pPr>
              <w:ind w:firstLine="181"/>
            </w:pPr>
            <w:r>
              <w:t>115,62 mln AQSh dollari;</w:t>
            </w:r>
          </w:p>
        </w:tc>
      </w:tr>
      <w:tr w:rsidR="00000000" w14:paraId="2CF87156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53357D2D" w14:textId="77777777" w:rsidR="00000000" w:rsidRDefault="00CE1551">
            <w:pPr>
              <w:ind w:left="275"/>
            </w:pPr>
            <w:r>
              <w:t>Kredit valyutasi</w:t>
            </w:r>
          </w:p>
        </w:tc>
        <w:tc>
          <w:tcPr>
            <w:tcW w:w="50" w:type="pct"/>
            <w:shd w:val="clear" w:color="auto" w:fill="FFFFFF"/>
            <w:hideMark/>
          </w:tcPr>
          <w:p w14:paraId="46100F0C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711E282E" w14:textId="77777777" w:rsidR="00000000" w:rsidRDefault="00CE1551">
            <w:pPr>
              <w:ind w:firstLine="181"/>
            </w:pPr>
            <w:r>
              <w:t>AQSh dollari;</w:t>
            </w:r>
          </w:p>
        </w:tc>
      </w:tr>
      <w:tr w:rsidR="00000000" w14:paraId="5AE1A2E9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5220B733" w14:textId="77777777" w:rsidR="00000000" w:rsidRDefault="00CE1551">
            <w:pPr>
              <w:ind w:left="275"/>
            </w:pPr>
            <w:r>
              <w:t>Kredit muddati</w:t>
            </w:r>
          </w:p>
        </w:tc>
        <w:tc>
          <w:tcPr>
            <w:tcW w:w="50" w:type="pct"/>
            <w:shd w:val="clear" w:color="auto" w:fill="FFFFFF"/>
            <w:hideMark/>
          </w:tcPr>
          <w:p w14:paraId="4C20F9E4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281F7BEB" w14:textId="77777777" w:rsidR="00000000" w:rsidRDefault="00CE1551">
            <w:pPr>
              <w:ind w:firstLine="181"/>
            </w:pPr>
            <w:r>
              <w:t>11 yil, shu jumladan 3 yillik imtiyozli davr;</w:t>
            </w:r>
          </w:p>
        </w:tc>
      </w:tr>
      <w:tr w:rsidR="00000000" w14:paraId="390F0382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1D33BBDC" w14:textId="77777777" w:rsidR="00000000" w:rsidRDefault="00CE1551">
            <w:pPr>
              <w:ind w:left="275"/>
            </w:pPr>
            <w:r>
              <w:t>Foiz stav</w:t>
            </w:r>
            <w:r>
              <w:rPr>
                <w:rFonts w:ascii="Tahoma" w:hAnsi="Tahoma" w:cs="Tahoma"/>
              </w:rPr>
              <w:t>�</w:t>
            </w:r>
            <w:r>
              <w:t>asi</w:t>
            </w:r>
          </w:p>
        </w:tc>
        <w:tc>
          <w:tcPr>
            <w:tcW w:w="50" w:type="pct"/>
            <w:shd w:val="clear" w:color="auto" w:fill="FFFFFF"/>
            <w:hideMark/>
          </w:tcPr>
          <w:p w14:paraId="64BA9A05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65B3AD5F" w14:textId="77777777" w:rsidR="00000000" w:rsidRDefault="00CE1551">
            <w:pPr>
              <w:ind w:firstLine="181"/>
            </w:pPr>
            <w:r>
              <w:t>6 oylik LIBOR (dollar) + yillik 1,5 foiz (</w:t>
            </w:r>
            <w:r>
              <w:t>shu jumladan 0,35 foiz bank marjasi);</w:t>
            </w:r>
          </w:p>
        </w:tc>
      </w:tr>
      <w:tr w:rsidR="00000000" w14:paraId="37153B6F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10065E95" w14:textId="77777777" w:rsidR="00000000" w:rsidRDefault="00CE1551">
            <w:pPr>
              <w:ind w:left="275"/>
            </w:pPr>
            <w:r>
              <w:t>Majburiyat uchun vositachilik haqi</w:t>
            </w:r>
          </w:p>
        </w:tc>
        <w:tc>
          <w:tcPr>
            <w:tcW w:w="50" w:type="pct"/>
            <w:shd w:val="clear" w:color="auto" w:fill="FFFFFF"/>
            <w:hideMark/>
          </w:tcPr>
          <w:p w14:paraId="5F673120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14D47EE8" w14:textId="77777777" w:rsidR="00000000" w:rsidRDefault="00CE1551">
            <w:pPr>
              <w:ind w:firstLine="181"/>
            </w:pPr>
            <w:r>
              <w:t>yillik 0,75 foiz (shu jumladan 0,2 foiz bank marjasi);</w:t>
            </w:r>
          </w:p>
        </w:tc>
      </w:tr>
      <w:tr w:rsidR="00000000" w14:paraId="204AB3A5" w14:textId="77777777">
        <w:trPr>
          <w:divId w:val="742142070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4495F128" w14:textId="77777777" w:rsidR="00000000" w:rsidRDefault="00CE1551">
            <w:pPr>
              <w:ind w:left="275"/>
            </w:pPr>
            <w:r>
              <w:t>Tashkil etish uchun vositachilik haqi</w:t>
            </w:r>
          </w:p>
        </w:tc>
        <w:tc>
          <w:tcPr>
            <w:tcW w:w="50" w:type="pct"/>
            <w:shd w:val="clear" w:color="auto" w:fill="FFFFFF"/>
            <w:hideMark/>
          </w:tcPr>
          <w:p w14:paraId="47517195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1A7F4A1B" w14:textId="77777777" w:rsidR="00000000" w:rsidRDefault="00CE1551">
            <w:pPr>
              <w:ind w:firstLine="181"/>
            </w:pPr>
            <w:r>
              <w:t xml:space="preserve">0,75 foiz (shu jumladan 0,2 foiz bank marjasi) </w:t>
            </w:r>
            <w:r>
              <w:t>bir vaqtning o‘zida;</w:t>
            </w:r>
          </w:p>
        </w:tc>
      </w:tr>
      <w:tr w:rsidR="00000000" w14:paraId="01BA3772" w14:textId="77777777">
        <w:trPr>
          <w:divId w:val="742142070"/>
          <w:trHeight w:val="282"/>
          <w:tblCellSpacing w:w="0" w:type="dxa"/>
          <w:jc w:val="center"/>
        </w:trPr>
        <w:tc>
          <w:tcPr>
            <w:tcW w:w="1450" w:type="pct"/>
            <w:shd w:val="clear" w:color="auto" w:fill="FFFFFF"/>
            <w:hideMark/>
          </w:tcPr>
          <w:p w14:paraId="6CDA7F81" w14:textId="77777777" w:rsidR="00000000" w:rsidRDefault="00CE1551">
            <w:pPr>
              <w:ind w:left="275"/>
            </w:pPr>
            <w:r>
              <w:t>Akkreditiv ochish uchun vositachilik haqi (bir marotaba)</w:t>
            </w:r>
          </w:p>
        </w:tc>
        <w:tc>
          <w:tcPr>
            <w:tcW w:w="50" w:type="pct"/>
            <w:shd w:val="clear" w:color="auto" w:fill="FFFFFF"/>
            <w:hideMark/>
          </w:tcPr>
          <w:p w14:paraId="155A6B68" w14:textId="77777777" w:rsidR="00000000" w:rsidRDefault="00CE1551">
            <w:pPr>
              <w:jc w:val="center"/>
            </w:pPr>
            <w:r>
              <w:t>—</w:t>
            </w:r>
          </w:p>
        </w:tc>
        <w:tc>
          <w:tcPr>
            <w:tcW w:w="3450" w:type="pct"/>
            <w:shd w:val="clear" w:color="auto" w:fill="FFFFFF"/>
            <w:hideMark/>
          </w:tcPr>
          <w:p w14:paraId="48D72BDA" w14:textId="77777777" w:rsidR="00000000" w:rsidRDefault="00CE1551">
            <w:pPr>
              <w:ind w:right="240" w:firstLine="181"/>
              <w:jc w:val="both"/>
            </w:pPr>
            <w:r>
              <w:t>5,0 ming AQSh dollari.</w:t>
            </w:r>
          </w:p>
        </w:tc>
      </w:tr>
    </w:tbl>
    <w:p w14:paraId="5FEDBD72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vanish/>
          <w:color w:val="000000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754"/>
        <w:gridCol w:w="687"/>
        <w:gridCol w:w="927"/>
        <w:gridCol w:w="794"/>
        <w:gridCol w:w="1141"/>
        <w:gridCol w:w="2087"/>
        <w:gridCol w:w="1061"/>
      </w:tblGrid>
      <w:tr w:rsidR="00000000" w14:paraId="4097334C" w14:textId="77777777">
        <w:trPr>
          <w:divId w:val="742142070"/>
          <w:jc w:val="center"/>
        </w:trPr>
        <w:tc>
          <w:tcPr>
            <w:tcW w:w="5000" w:type="pct"/>
            <w:gridSpan w:val="8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14:paraId="3E899EA0" w14:textId="77777777" w:rsidR="00000000" w:rsidRDefault="00CE1551">
            <w:pPr>
              <w:jc w:val="right"/>
            </w:pPr>
            <w:r>
              <w:rPr>
                <w:b/>
                <w:bCs/>
                <w:i/>
                <w:iCs/>
              </w:rPr>
              <w:lastRenderedPageBreak/>
              <w:t>(mln AQSh dollari)</w:t>
            </w:r>
          </w:p>
        </w:tc>
      </w:tr>
      <w:tr w:rsidR="00000000" w14:paraId="6F15DD61" w14:textId="77777777">
        <w:trPr>
          <w:divId w:val="742142070"/>
          <w:jc w:val="center"/>
        </w:trPr>
        <w:tc>
          <w:tcPr>
            <w:tcW w:w="1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97B5EB" w14:textId="77777777" w:rsidR="00000000" w:rsidRDefault="00CE1551">
            <w:pPr>
              <w:jc w:val="center"/>
            </w:pPr>
            <w:r>
              <w:rPr>
                <w:b/>
                <w:bCs/>
              </w:rPr>
              <w:t>To‘lash davri</w:t>
            </w:r>
          </w:p>
        </w:tc>
        <w:tc>
          <w:tcPr>
            <w:tcW w:w="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2A9A89" w14:textId="77777777" w:rsidR="00000000" w:rsidRDefault="00CE1551">
            <w:pPr>
              <w:jc w:val="center"/>
            </w:pPr>
            <w:r>
              <w:rPr>
                <w:b/>
                <w:bCs/>
              </w:rPr>
              <w:t>Tanlab olish</w:t>
            </w:r>
            <w:hyperlink r:id="rId15" w:history="1">
              <w:r>
                <w:rPr>
                  <w:b/>
                  <w:bCs/>
                  <w:color w:val="008080"/>
                </w:rPr>
                <w:t>*</w:t>
              </w:r>
            </w:hyperlink>
          </w:p>
        </w:tc>
        <w:tc>
          <w:tcPr>
            <w:tcW w:w="105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77360" w14:textId="77777777" w:rsidR="00000000" w:rsidRDefault="00CE1551">
            <w:pPr>
              <w:jc w:val="center"/>
            </w:pPr>
            <w:r>
              <w:rPr>
                <w:b/>
                <w:bCs/>
              </w:rPr>
              <w:t>To‘lovlar summasi</w:t>
            </w:r>
          </w:p>
        </w:tc>
        <w:tc>
          <w:tcPr>
            <w:tcW w:w="1550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22296" w14:textId="77777777" w:rsidR="00000000" w:rsidRDefault="00CE1551">
            <w:pPr>
              <w:jc w:val="center"/>
            </w:pPr>
            <w:r>
              <w:rPr>
                <w:b/>
                <w:bCs/>
              </w:rPr>
              <w:t>Vositachilik haqi</w:t>
            </w:r>
          </w:p>
        </w:tc>
        <w:tc>
          <w:tcPr>
            <w:tcW w:w="5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59FF2" w14:textId="77777777" w:rsidR="00000000" w:rsidRDefault="00CE1551">
            <w:pPr>
              <w:jc w:val="center"/>
            </w:pPr>
            <w:r>
              <w:rPr>
                <w:b/>
                <w:bCs/>
              </w:rPr>
              <w:t>To‘lanishi kerak bo‘lgan umumiy summa</w:t>
            </w:r>
          </w:p>
        </w:tc>
      </w:tr>
      <w:tr w:rsidR="00000000" w14:paraId="1F5006DA" w14:textId="77777777">
        <w:trPr>
          <w:divId w:val="74214207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AC39B" w14:textId="77777777" w:rsidR="00000000" w:rsidRDefault="00CE1551"/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EE467" w14:textId="77777777" w:rsidR="00000000" w:rsidRDefault="00CE1551"/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D2E1D" w14:textId="77777777" w:rsidR="00000000" w:rsidRDefault="00CE1551">
            <w:pPr>
              <w:jc w:val="center"/>
            </w:pPr>
            <w:r>
              <w:rPr>
                <w:b/>
                <w:bCs/>
              </w:rPr>
              <w:t>Asosiy qarz</w:t>
            </w:r>
            <w:hyperlink r:id="rId16" w:history="1">
              <w:r>
                <w:rPr>
                  <w:b/>
                  <w:bCs/>
                  <w:color w:val="008080"/>
                </w:rPr>
                <w:t>*</w:t>
              </w:r>
            </w:hyperlink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F018C" w14:textId="77777777" w:rsidR="00000000" w:rsidRDefault="00CE1551">
            <w:pPr>
              <w:jc w:val="center"/>
            </w:pPr>
            <w:r>
              <w:rPr>
                <w:b/>
                <w:bCs/>
              </w:rPr>
              <w:t>foizlar</w:t>
            </w:r>
            <w:hyperlink r:id="rId17" w:history="1">
              <w:r>
                <w:rPr>
                  <w:b/>
                  <w:bCs/>
                  <w:color w:val="008080"/>
                </w:rPr>
                <w:t>**</w:t>
              </w:r>
            </w:hyperlink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B5118" w14:textId="77777777" w:rsidR="00000000" w:rsidRDefault="00CE1551">
            <w:pPr>
              <w:jc w:val="center"/>
            </w:pPr>
            <w:r>
              <w:rPr>
                <w:b/>
                <w:bCs/>
              </w:rPr>
              <w:t>Tashkil etish uchun</w:t>
            </w: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2DBA9" w14:textId="77777777" w:rsidR="00000000" w:rsidRDefault="00CE1551">
            <w:pPr>
              <w:jc w:val="center"/>
            </w:pPr>
            <w:r>
              <w:rPr>
                <w:b/>
                <w:bCs/>
              </w:rPr>
              <w:t>Akkreditiv ochish uchun</w:t>
            </w: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1C959" w14:textId="77777777" w:rsidR="00000000" w:rsidRDefault="00CE1551">
            <w:pPr>
              <w:jc w:val="center"/>
            </w:pPr>
            <w:r>
              <w:rPr>
                <w:b/>
                <w:bCs/>
              </w:rPr>
              <w:t>Majburiyatuchun</w:t>
            </w:r>
            <w:hyperlink r:id="rId18" w:history="1">
              <w:r>
                <w:rPr>
                  <w:b/>
                  <w:bCs/>
                  <w:color w:val="008080"/>
                </w:rPr>
                <w:t>**</w:t>
              </w:r>
            </w:hyperlink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D624D6" w14:textId="77777777" w:rsidR="00000000" w:rsidRDefault="00CE1551"/>
        </w:tc>
      </w:tr>
      <w:tr w:rsidR="00000000" w14:paraId="665E128B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39C41" w14:textId="77777777" w:rsidR="00000000" w:rsidRDefault="00CE1551">
            <w:pPr>
              <w:ind w:left="225" w:right="195"/>
            </w:pPr>
            <w:r>
              <w:t>2017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2E5941" w14:textId="77777777" w:rsidR="00000000" w:rsidRDefault="00CE1551">
            <w:pPr>
              <w:jc w:val="center"/>
            </w:pPr>
            <w:r>
              <w:t>63,448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23052D" w14:textId="77777777" w:rsidR="00000000" w:rsidRDefault="00CE1551">
            <w:pPr>
              <w:jc w:val="center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8A8523" w14:textId="77777777" w:rsidR="00000000" w:rsidRDefault="00CE1551">
            <w:pPr>
              <w:jc w:val="center"/>
            </w:pPr>
            <w:r>
              <w:t>0,904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2257E0" w14:textId="77777777" w:rsidR="00000000" w:rsidRDefault="00CE1551">
            <w:pPr>
              <w:jc w:val="center"/>
            </w:pPr>
            <w:r>
              <w:t>0,867</w:t>
            </w: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91DCC7" w14:textId="77777777" w:rsidR="00000000" w:rsidRDefault="00CE1551">
            <w:pPr>
              <w:jc w:val="center"/>
            </w:pPr>
            <w:r>
              <w:t>0,005</w:t>
            </w: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CFA52C" w14:textId="77777777" w:rsidR="00000000" w:rsidRDefault="00CE1551">
            <w:pPr>
              <w:jc w:val="center"/>
            </w:pPr>
            <w:r>
              <w:t>0,438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004B85" w14:textId="77777777" w:rsidR="00000000" w:rsidRDefault="00CE1551">
            <w:pPr>
              <w:jc w:val="center"/>
            </w:pPr>
            <w:r>
              <w:t>2,214</w:t>
            </w:r>
          </w:p>
        </w:tc>
      </w:tr>
      <w:tr w:rsidR="00000000" w14:paraId="5D80FB78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FA478C" w14:textId="77777777" w:rsidR="00000000" w:rsidRDefault="00CE1551">
            <w:pPr>
              <w:ind w:left="225" w:right="195"/>
            </w:pPr>
            <w:r>
              <w:t>2017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9792A9" w14:textId="77777777" w:rsidR="00000000" w:rsidRDefault="00CE1551">
            <w:pPr>
              <w:jc w:val="center"/>
            </w:pPr>
            <w:r>
              <w:t>52,175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E23E35" w14:textId="77777777" w:rsidR="00000000" w:rsidRDefault="00CE1551">
            <w:pPr>
              <w:jc w:val="center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791E71" w14:textId="77777777" w:rsidR="00000000" w:rsidRDefault="00CE1551">
            <w:pPr>
              <w:jc w:val="center"/>
            </w:pPr>
            <w:r>
              <w:t>1,656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91AED1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EC52A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2AC800" w14:textId="77777777" w:rsidR="00000000" w:rsidRDefault="00CE1551">
            <w:pPr>
              <w:jc w:val="center"/>
            </w:pPr>
            <w:r>
              <w:t>0,199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4775D9" w14:textId="77777777" w:rsidR="00000000" w:rsidRDefault="00CE1551">
            <w:pPr>
              <w:jc w:val="center"/>
            </w:pPr>
            <w:r>
              <w:t>1,855</w:t>
            </w:r>
          </w:p>
        </w:tc>
      </w:tr>
      <w:tr w:rsidR="00000000" w14:paraId="74E70E9D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3C0B54" w14:textId="77777777" w:rsidR="00000000" w:rsidRDefault="00CE1551">
            <w:pPr>
              <w:ind w:left="225" w:right="195"/>
            </w:pPr>
            <w:r>
              <w:t>2018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8B5C18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5908F7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B9DC7F" w14:textId="77777777" w:rsidR="00000000" w:rsidRDefault="00CE1551">
            <w:pPr>
              <w:jc w:val="center"/>
            </w:pPr>
            <w:r>
              <w:t>1,647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4CDC23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A6090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B6057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FDC7CD" w14:textId="77777777" w:rsidR="00000000" w:rsidRDefault="00CE1551">
            <w:pPr>
              <w:jc w:val="center"/>
            </w:pPr>
            <w:r>
              <w:t>1,647</w:t>
            </w:r>
          </w:p>
        </w:tc>
      </w:tr>
      <w:tr w:rsidR="00000000" w14:paraId="2156722C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2882B6" w14:textId="77777777" w:rsidR="00000000" w:rsidRDefault="00CE1551">
            <w:pPr>
              <w:ind w:left="225" w:right="195"/>
            </w:pPr>
            <w:r>
              <w:t>2018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2B6CB1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F57D59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D677E7" w14:textId="77777777" w:rsidR="00000000" w:rsidRDefault="00CE1551">
            <w:pPr>
              <w:jc w:val="center"/>
            </w:pPr>
            <w:r>
              <w:t>1,656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C2B813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1CA4F8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F17F8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B567A8" w14:textId="77777777" w:rsidR="00000000" w:rsidRDefault="00CE1551">
            <w:pPr>
              <w:jc w:val="center"/>
            </w:pPr>
            <w:r>
              <w:t>1,656</w:t>
            </w:r>
          </w:p>
        </w:tc>
      </w:tr>
      <w:tr w:rsidR="00000000" w14:paraId="4B348877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66C92B" w14:textId="77777777" w:rsidR="00000000" w:rsidRDefault="00CE1551">
            <w:pPr>
              <w:ind w:left="225" w:right="195"/>
            </w:pPr>
            <w:r>
              <w:t xml:space="preserve">2019 y. I </w:t>
            </w:r>
            <w:r>
              <w:t>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403F86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D1EDC4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9B5C3B" w14:textId="77777777" w:rsidR="00000000" w:rsidRDefault="00CE1551">
            <w:pPr>
              <w:jc w:val="center"/>
            </w:pPr>
            <w:r>
              <w:t>1,647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E3014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F757A3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EA0965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7720DC" w14:textId="77777777" w:rsidR="00000000" w:rsidRDefault="00CE1551">
            <w:pPr>
              <w:jc w:val="center"/>
            </w:pPr>
            <w:r>
              <w:t>1,647</w:t>
            </w:r>
          </w:p>
        </w:tc>
      </w:tr>
      <w:tr w:rsidR="00000000" w14:paraId="1C0DACF1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641054" w14:textId="77777777" w:rsidR="00000000" w:rsidRDefault="00CE1551">
            <w:pPr>
              <w:ind w:left="225" w:right="195"/>
            </w:pPr>
            <w:r>
              <w:t>2019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32ADA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1FB9DA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298CB4" w14:textId="77777777" w:rsidR="00000000" w:rsidRDefault="00CE1551">
            <w:pPr>
              <w:jc w:val="center"/>
            </w:pPr>
            <w:r>
              <w:t>1,656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07AB30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3F0317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665B1B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C1D4CD" w14:textId="77777777" w:rsidR="00000000" w:rsidRDefault="00CE1551">
            <w:pPr>
              <w:jc w:val="center"/>
            </w:pPr>
            <w:r>
              <w:t>1,656</w:t>
            </w:r>
          </w:p>
        </w:tc>
      </w:tr>
      <w:tr w:rsidR="00000000" w14:paraId="665A05D9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B065C1" w14:textId="77777777" w:rsidR="00000000" w:rsidRDefault="00CE1551">
            <w:pPr>
              <w:ind w:left="225" w:right="195"/>
            </w:pPr>
            <w:r>
              <w:t>2020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3C6C8A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1CB249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F097A6" w14:textId="77777777" w:rsidR="00000000" w:rsidRDefault="00CE1551">
            <w:pPr>
              <w:jc w:val="center"/>
            </w:pPr>
            <w:r>
              <w:t>1,656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F6A255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BE675A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8FC4A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93103" w14:textId="77777777" w:rsidR="00000000" w:rsidRDefault="00CE1551">
            <w:pPr>
              <w:jc w:val="center"/>
            </w:pPr>
            <w:r>
              <w:t>8,883</w:t>
            </w:r>
          </w:p>
        </w:tc>
      </w:tr>
      <w:tr w:rsidR="00000000" w14:paraId="2B223E7A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9F33CB" w14:textId="77777777" w:rsidR="00000000" w:rsidRDefault="00CE1551">
            <w:pPr>
              <w:ind w:left="225" w:right="195"/>
            </w:pPr>
            <w:r>
              <w:t>2020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92C40B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77B6E8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B0C51E" w14:textId="77777777" w:rsidR="00000000" w:rsidRDefault="00CE1551">
            <w:pPr>
              <w:jc w:val="center"/>
            </w:pPr>
            <w:r>
              <w:t>1,553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86B36B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9DC718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EBB88A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13514A" w14:textId="77777777" w:rsidR="00000000" w:rsidRDefault="00CE1551">
            <w:pPr>
              <w:jc w:val="center"/>
            </w:pPr>
            <w:r>
              <w:t>8,779</w:t>
            </w:r>
          </w:p>
        </w:tc>
      </w:tr>
      <w:tr w:rsidR="00000000" w14:paraId="079D20AC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C3A9CE" w14:textId="77777777" w:rsidR="00000000" w:rsidRDefault="00CE1551">
            <w:pPr>
              <w:ind w:left="225" w:right="195"/>
            </w:pPr>
            <w:r>
              <w:t>2021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563BB8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3DF3AA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B970F0" w14:textId="77777777" w:rsidR="00000000" w:rsidRDefault="00CE1551">
            <w:pPr>
              <w:jc w:val="center"/>
            </w:pPr>
            <w:r>
              <w:t>1,441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2E7929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EAE8CB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F197DA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5B5372" w14:textId="77777777" w:rsidR="00000000" w:rsidRDefault="00CE1551">
            <w:pPr>
              <w:jc w:val="center"/>
            </w:pPr>
            <w:r>
              <w:t>8,668</w:t>
            </w:r>
          </w:p>
        </w:tc>
      </w:tr>
      <w:tr w:rsidR="00000000" w14:paraId="41EBD07F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FB1B4F" w14:textId="77777777" w:rsidR="00000000" w:rsidRDefault="00CE1551">
            <w:pPr>
              <w:ind w:left="225" w:right="195"/>
            </w:pPr>
            <w:r>
              <w:t>2021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5381B7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A3FF0D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7C910E" w14:textId="77777777" w:rsidR="00000000" w:rsidRDefault="00CE1551">
            <w:pPr>
              <w:jc w:val="center"/>
            </w:pPr>
            <w:r>
              <w:t>1,346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D59F2D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485A10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B3F40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A66134" w14:textId="77777777" w:rsidR="00000000" w:rsidRDefault="00CE1551">
            <w:pPr>
              <w:jc w:val="center"/>
            </w:pPr>
            <w:r>
              <w:t>8,572</w:t>
            </w:r>
          </w:p>
        </w:tc>
      </w:tr>
      <w:tr w:rsidR="00000000" w14:paraId="1595BC06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AA725B" w14:textId="77777777" w:rsidR="00000000" w:rsidRDefault="00CE1551">
            <w:pPr>
              <w:ind w:left="225" w:right="195"/>
            </w:pPr>
            <w:r>
              <w:t>2022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F1B4D9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B3AD9E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185680" w14:textId="77777777" w:rsidR="00000000" w:rsidRDefault="00CE1551">
            <w:pPr>
              <w:jc w:val="center"/>
            </w:pPr>
            <w:r>
              <w:t>1,235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BB26A4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C65FFB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5D216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D885E7" w14:textId="77777777" w:rsidR="00000000" w:rsidRDefault="00CE1551">
            <w:pPr>
              <w:jc w:val="center"/>
            </w:pPr>
            <w:r>
              <w:t>8,462</w:t>
            </w:r>
          </w:p>
        </w:tc>
      </w:tr>
      <w:tr w:rsidR="00000000" w14:paraId="299B2CA0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5AE223" w14:textId="77777777" w:rsidR="00000000" w:rsidRDefault="00CE1551">
            <w:pPr>
              <w:ind w:left="225" w:right="195"/>
            </w:pPr>
            <w:r>
              <w:t>2022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A215C8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2A74EC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D43E5A" w14:textId="77777777" w:rsidR="00000000" w:rsidRDefault="00CE1551">
            <w:pPr>
              <w:jc w:val="center"/>
            </w:pPr>
            <w:r>
              <w:t>1,139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68DA82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93A8E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C4AE77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65FCAB" w14:textId="77777777" w:rsidR="00000000" w:rsidRDefault="00CE1551">
            <w:pPr>
              <w:jc w:val="center"/>
            </w:pPr>
            <w:r>
              <w:t>8,365</w:t>
            </w:r>
          </w:p>
        </w:tc>
      </w:tr>
      <w:tr w:rsidR="00000000" w14:paraId="32379BCF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0BBD62" w14:textId="77777777" w:rsidR="00000000" w:rsidRDefault="00CE1551">
            <w:pPr>
              <w:ind w:left="225" w:right="195"/>
            </w:pPr>
            <w:r>
              <w:t>2023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6D2879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B69BEC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889137" w14:textId="77777777" w:rsidR="00000000" w:rsidRDefault="00CE1551">
            <w:pPr>
              <w:jc w:val="center"/>
            </w:pPr>
            <w:r>
              <w:t>1,029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37B4B6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1C79C5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783144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06C81C" w14:textId="77777777" w:rsidR="00000000" w:rsidRDefault="00CE1551">
            <w:pPr>
              <w:jc w:val="center"/>
            </w:pPr>
            <w:r>
              <w:t>8,256</w:t>
            </w:r>
          </w:p>
        </w:tc>
      </w:tr>
      <w:tr w:rsidR="00000000" w14:paraId="74931499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613289" w14:textId="77777777" w:rsidR="00000000" w:rsidRDefault="00CE1551">
            <w:pPr>
              <w:ind w:left="225" w:right="195"/>
            </w:pPr>
            <w:r>
              <w:t>2023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DC7F8C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15E62B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2BBDF5" w14:textId="77777777" w:rsidR="00000000" w:rsidRDefault="00CE1551">
            <w:pPr>
              <w:jc w:val="center"/>
            </w:pPr>
            <w:r>
              <w:t>0,932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236501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E69AB9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CA905C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10FBA8" w14:textId="77777777" w:rsidR="00000000" w:rsidRDefault="00CE1551">
            <w:pPr>
              <w:jc w:val="center"/>
            </w:pPr>
            <w:r>
              <w:t>8,158</w:t>
            </w:r>
          </w:p>
        </w:tc>
      </w:tr>
      <w:tr w:rsidR="00000000" w14:paraId="45BF8111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8A371B" w14:textId="77777777" w:rsidR="00000000" w:rsidRDefault="00CE1551">
            <w:pPr>
              <w:ind w:left="225" w:right="195"/>
            </w:pPr>
            <w:r>
              <w:t>2024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70D4A8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9B26AB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274EB3" w14:textId="77777777" w:rsidR="00000000" w:rsidRDefault="00CE1551">
            <w:pPr>
              <w:jc w:val="center"/>
            </w:pPr>
            <w:r>
              <w:t>0,828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032E67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17E52E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C005A7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A5BFE4" w14:textId="77777777" w:rsidR="00000000" w:rsidRDefault="00CE1551">
            <w:pPr>
              <w:jc w:val="center"/>
            </w:pPr>
            <w:r>
              <w:t>8,055</w:t>
            </w:r>
          </w:p>
        </w:tc>
      </w:tr>
      <w:tr w:rsidR="00000000" w14:paraId="25CA4057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C750F3" w14:textId="77777777" w:rsidR="00000000" w:rsidRDefault="00CE1551">
            <w:pPr>
              <w:ind w:left="225" w:right="195"/>
            </w:pPr>
            <w:r>
              <w:t xml:space="preserve">2024 y. II </w:t>
            </w:r>
            <w:r>
              <w:t>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796A13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E70EAE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2AF065" w14:textId="77777777" w:rsidR="00000000" w:rsidRDefault="00CE1551">
            <w:pPr>
              <w:jc w:val="center"/>
            </w:pPr>
            <w:r>
              <w:t>0,725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551B99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108C4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E3705E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5A8C6E" w14:textId="77777777" w:rsidR="00000000" w:rsidRDefault="00CE1551">
            <w:pPr>
              <w:jc w:val="center"/>
            </w:pPr>
            <w:r>
              <w:t>7,951</w:t>
            </w:r>
          </w:p>
        </w:tc>
      </w:tr>
      <w:tr w:rsidR="00000000" w14:paraId="716C9848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12FE0E" w14:textId="77777777" w:rsidR="00000000" w:rsidRDefault="00CE1551">
            <w:pPr>
              <w:ind w:left="225" w:right="195"/>
            </w:pPr>
            <w:r>
              <w:t>2025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A93EA0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D423F1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73A7A6" w14:textId="77777777" w:rsidR="00000000" w:rsidRDefault="00CE1551">
            <w:pPr>
              <w:jc w:val="center"/>
            </w:pPr>
            <w:r>
              <w:t>0,618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F366A5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B58B87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B68DBD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686160" w14:textId="77777777" w:rsidR="00000000" w:rsidRDefault="00CE1551">
            <w:pPr>
              <w:jc w:val="center"/>
            </w:pPr>
            <w:r>
              <w:t>7,844</w:t>
            </w:r>
          </w:p>
        </w:tc>
      </w:tr>
      <w:tr w:rsidR="00000000" w14:paraId="003B15BE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1AFE63" w14:textId="77777777" w:rsidR="00000000" w:rsidRDefault="00CE1551">
            <w:pPr>
              <w:ind w:left="225" w:right="195"/>
            </w:pPr>
            <w:r>
              <w:t>2025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9DFC1A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DD26B7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23404E" w14:textId="77777777" w:rsidR="00000000" w:rsidRDefault="00CE1551">
            <w:pPr>
              <w:jc w:val="center"/>
            </w:pPr>
            <w:r>
              <w:t>0,518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66B3B3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0898D2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DB6C0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CB59A6" w14:textId="77777777" w:rsidR="00000000" w:rsidRDefault="00CE1551">
            <w:pPr>
              <w:jc w:val="center"/>
            </w:pPr>
            <w:r>
              <w:t>7,744</w:t>
            </w:r>
          </w:p>
        </w:tc>
      </w:tr>
      <w:tr w:rsidR="00000000" w14:paraId="397CD964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BDC4BB" w14:textId="77777777" w:rsidR="00000000" w:rsidRDefault="00CE1551">
            <w:pPr>
              <w:ind w:left="225" w:right="195"/>
            </w:pPr>
            <w:r>
              <w:t>2026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31284F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E40FA0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385E6B" w14:textId="77777777" w:rsidR="00000000" w:rsidRDefault="00CE1551">
            <w:pPr>
              <w:jc w:val="center"/>
            </w:pPr>
            <w:r>
              <w:t>0,412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8AFAED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C91796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9AA5E3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DAF1D9" w14:textId="77777777" w:rsidR="00000000" w:rsidRDefault="00CE1551">
            <w:pPr>
              <w:jc w:val="center"/>
            </w:pPr>
            <w:r>
              <w:t>7,368</w:t>
            </w:r>
          </w:p>
        </w:tc>
      </w:tr>
      <w:tr w:rsidR="00000000" w14:paraId="728F03E1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AC96B7" w14:textId="77777777" w:rsidR="00000000" w:rsidRDefault="00CE1551">
            <w:pPr>
              <w:ind w:left="225" w:right="195"/>
            </w:pPr>
            <w:r>
              <w:t>2026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EA599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C3C47C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55A415" w14:textId="77777777" w:rsidR="00000000" w:rsidRDefault="00CE1551">
            <w:pPr>
              <w:jc w:val="center"/>
            </w:pPr>
            <w:r>
              <w:t>0,311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84AE12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16A680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FE8504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41E8DB" w14:textId="77777777" w:rsidR="00000000" w:rsidRDefault="00CE1551">
            <w:pPr>
              <w:jc w:val="center"/>
            </w:pPr>
            <w:r>
              <w:t>7,537</w:t>
            </w:r>
          </w:p>
        </w:tc>
      </w:tr>
      <w:tr w:rsidR="00000000" w14:paraId="25AB3ED0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94C546" w14:textId="77777777" w:rsidR="00000000" w:rsidRDefault="00CE1551">
            <w:pPr>
              <w:ind w:left="225" w:right="195"/>
            </w:pPr>
            <w:r>
              <w:t>2027 y. 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60F60F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CC5904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7FD7CD" w14:textId="77777777" w:rsidR="00000000" w:rsidRDefault="00CE1551">
            <w:pPr>
              <w:jc w:val="center"/>
            </w:pPr>
            <w:r>
              <w:t>0,206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86BC4C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F28DDF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396AD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C3C6B7" w14:textId="77777777" w:rsidR="00000000" w:rsidRDefault="00CE1551">
            <w:pPr>
              <w:jc w:val="center"/>
            </w:pPr>
            <w:r>
              <w:t>7,432</w:t>
            </w:r>
          </w:p>
        </w:tc>
      </w:tr>
      <w:tr w:rsidR="00000000" w14:paraId="0347CD2B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956D5B" w14:textId="77777777" w:rsidR="00000000" w:rsidRDefault="00CE1551">
            <w:pPr>
              <w:ind w:left="225" w:right="195"/>
            </w:pPr>
            <w:r>
              <w:t>2027 y. II yarim yillik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9113F3" w14:textId="77777777" w:rsidR="00000000" w:rsidRDefault="00CE1551">
            <w:pPr>
              <w:ind w:left="225" w:right="195"/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B72D97" w14:textId="77777777" w:rsidR="00000000" w:rsidRDefault="00CE1551">
            <w:pPr>
              <w:jc w:val="center"/>
            </w:pPr>
            <w:r>
              <w:t>7,226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5CCB4D" w14:textId="77777777" w:rsidR="00000000" w:rsidRDefault="00CE1551">
            <w:pPr>
              <w:jc w:val="center"/>
            </w:pPr>
            <w:r>
              <w:t>0,104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F033D1" w14:textId="77777777" w:rsidR="00000000" w:rsidRDefault="00CE1551">
            <w:pPr>
              <w:jc w:val="center"/>
            </w:pP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00D9E1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B35772" w14:textId="77777777" w:rsidR="00000000" w:rsidRDefault="00CE155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2E6791" w14:textId="77777777" w:rsidR="00000000" w:rsidRDefault="00CE1551">
            <w:pPr>
              <w:jc w:val="center"/>
            </w:pPr>
            <w:r>
              <w:t>7,330</w:t>
            </w:r>
          </w:p>
        </w:tc>
      </w:tr>
      <w:tr w:rsidR="00000000" w14:paraId="05DE7847" w14:textId="77777777">
        <w:trPr>
          <w:divId w:val="742142070"/>
          <w:jc w:val="center"/>
        </w:trPr>
        <w:tc>
          <w:tcPr>
            <w:tcW w:w="1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969387" w14:textId="77777777" w:rsidR="00000000" w:rsidRDefault="00CE1551">
            <w:pPr>
              <w:ind w:left="225" w:right="195"/>
            </w:pPr>
            <w:r>
              <w:rPr>
                <w:b/>
                <w:bCs/>
              </w:rPr>
              <w:lastRenderedPageBreak/>
              <w:t>Jami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A6A8FE" w14:textId="77777777" w:rsidR="00000000" w:rsidRDefault="00CE1551">
            <w:pPr>
              <w:jc w:val="center"/>
            </w:pPr>
            <w:r>
              <w:rPr>
                <w:b/>
                <w:bCs/>
              </w:rPr>
              <w:t>115,62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ADE7EC" w14:textId="77777777" w:rsidR="00000000" w:rsidRDefault="00CE1551">
            <w:pPr>
              <w:jc w:val="center"/>
            </w:pPr>
            <w:r>
              <w:rPr>
                <w:b/>
                <w:bCs/>
              </w:rPr>
              <w:t>115,62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A725CB" w14:textId="77777777" w:rsidR="00000000" w:rsidRDefault="00CE1551">
            <w:pPr>
              <w:jc w:val="center"/>
            </w:pPr>
            <w:r>
              <w:rPr>
                <w:b/>
                <w:bCs/>
              </w:rPr>
              <w:t>23,22</w:t>
            </w:r>
          </w:p>
        </w:tc>
        <w:tc>
          <w:tcPr>
            <w:tcW w:w="3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61CD84" w14:textId="77777777" w:rsidR="00000000" w:rsidRDefault="00CE1551">
            <w:pPr>
              <w:jc w:val="center"/>
            </w:pPr>
            <w:r>
              <w:rPr>
                <w:b/>
                <w:bCs/>
              </w:rPr>
              <w:t>0,87</w:t>
            </w:r>
          </w:p>
        </w:tc>
        <w:tc>
          <w:tcPr>
            <w:tcW w:w="5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1602AA" w14:textId="77777777" w:rsidR="00000000" w:rsidRDefault="00CE1551">
            <w:pPr>
              <w:jc w:val="center"/>
            </w:pPr>
            <w:r>
              <w:rPr>
                <w:b/>
                <w:bCs/>
              </w:rPr>
              <w:t>0,005</w:t>
            </w:r>
          </w:p>
        </w:tc>
        <w:tc>
          <w:tcPr>
            <w:tcW w:w="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711910" w14:textId="77777777" w:rsidR="00000000" w:rsidRDefault="00CE1551">
            <w:pPr>
              <w:jc w:val="center"/>
            </w:pPr>
            <w:r>
              <w:rPr>
                <w:b/>
                <w:bCs/>
              </w:rPr>
              <w:t>0,64</w:t>
            </w:r>
          </w:p>
        </w:tc>
        <w:tc>
          <w:tcPr>
            <w:tcW w:w="50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DB4477" w14:textId="77777777" w:rsidR="00000000" w:rsidRDefault="00CE1551">
            <w:pPr>
              <w:jc w:val="center"/>
            </w:pPr>
            <w:r>
              <w:rPr>
                <w:b/>
                <w:bCs/>
              </w:rPr>
              <w:t>140,35</w:t>
            </w:r>
          </w:p>
        </w:tc>
      </w:tr>
    </w:tbl>
    <w:p w14:paraId="42B8F69D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 Asosiy qarzni so‘ndirish sanasi qarz bitimi kuchga kirishi va birinchi tanlov sanasiga bog‘liq.</w:t>
      </w:r>
    </w:p>
    <w:p w14:paraId="4CD9AF10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>** Vositachilik haqi va foizlar kreditni tanlab olish haqiqiy summasiga va 6 oylik LIBOR stavkasiga bog‘liq holda aniqlashtiriladi.</w:t>
      </w:r>
    </w:p>
    <w:p w14:paraId="561DE455" w14:textId="77777777" w:rsidR="00000000" w:rsidRDefault="00CE1551">
      <w:pPr>
        <w:shd w:val="clear" w:color="auto" w:fill="FFFFFF"/>
        <w:jc w:val="center"/>
        <w:divId w:val="1575818920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O‘zbekiston Respublikasi P</w:t>
      </w:r>
      <w:r>
        <w:rPr>
          <w:rFonts w:eastAsia="Times New Roman"/>
          <w:color w:val="000080"/>
          <w:sz w:val="22"/>
          <w:szCs w:val="22"/>
        </w:rPr>
        <w:t xml:space="preserve">rezidentining 2017-yil 24-iyuldagi PQ-3146-son </w:t>
      </w:r>
      <w:hyperlink r:id="rId19" w:history="1">
        <w:r>
          <w:rPr>
            <w:rFonts w:eastAsia="Times New Roman"/>
            <w:color w:val="008080"/>
            <w:sz w:val="22"/>
            <w:szCs w:val="22"/>
          </w:rPr>
          <w:t xml:space="preserve">qaroriga </w:t>
        </w:r>
        <w:r>
          <w:rPr>
            <w:rFonts w:eastAsia="Times New Roman"/>
            <w:color w:val="008080"/>
            <w:sz w:val="22"/>
            <w:szCs w:val="22"/>
          </w:rPr>
          <w:br/>
        </w:r>
      </w:hyperlink>
      <w:r>
        <w:rPr>
          <w:rFonts w:eastAsia="Times New Roman"/>
          <w:color w:val="000080"/>
          <w:sz w:val="22"/>
          <w:szCs w:val="22"/>
        </w:rPr>
        <w:t>3-ILOVA</w:t>
      </w:r>
    </w:p>
    <w:p w14:paraId="53CD83D1" w14:textId="77777777" w:rsidR="00000000" w:rsidRDefault="00CE1551">
      <w:pPr>
        <w:shd w:val="clear" w:color="auto" w:fill="FFFFFF"/>
        <w:jc w:val="center"/>
        <w:divId w:val="996348080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O‘zbekiston Respublikasi Prezidentining ayrim qarorlariga kiritiladigan</w:t>
      </w:r>
    </w:p>
    <w:p w14:paraId="0E46DB32" w14:textId="77777777" w:rsidR="00000000" w:rsidRDefault="00CE1551">
      <w:pPr>
        <w:shd w:val="clear" w:color="auto" w:fill="FFFFFF"/>
        <w:jc w:val="center"/>
        <w:divId w:val="742142070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 xml:space="preserve">QO‘ShIMChALAR </w:t>
      </w:r>
    </w:p>
    <w:p w14:paraId="4F53C0B7" w14:textId="77777777" w:rsidR="00000000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O‘zbekiston Respublikasi Prezidentining 2014-yil 16-dekabrdag</w:t>
      </w:r>
      <w:r>
        <w:rPr>
          <w:rFonts w:eastAsia="Times New Roman"/>
          <w:color w:val="000000"/>
        </w:rPr>
        <w:t xml:space="preserve">i ““Navoiyazot” AJ negizida polivinilxlorid (PVX), kaustik soda va metanol ishlab chiqarish kompleksi qurilishi” investitsion loyihasini amalga oshirish chora-tadbirlari to‘g‘risida”gi PQ-2272-son qarorining 9-bandi </w:t>
      </w:r>
      <w:hyperlink r:id="rId20" w:anchor="-2529498" w:history="1">
        <w:r>
          <w:rPr>
            <w:rFonts w:eastAsia="Times New Roman"/>
            <w:color w:val="008080"/>
          </w:rPr>
          <w:t xml:space="preserve">ikkinchi xatboshidagi </w:t>
        </w:r>
      </w:hyperlink>
      <w:r>
        <w:rPr>
          <w:rFonts w:eastAsia="Times New Roman"/>
          <w:color w:val="000000"/>
        </w:rPr>
        <w:t>“olib keladigan” so‘zlaridan oldin “Navoiyazot AJ,” so‘zlari bilan to‘ldirilsin.</w:t>
      </w:r>
    </w:p>
    <w:p w14:paraId="5B15051F" w14:textId="77777777" w:rsidR="00CE1551" w:rsidRDefault="00CE1551">
      <w:pPr>
        <w:shd w:val="clear" w:color="auto" w:fill="FFFFFF"/>
        <w:ind w:firstLine="851"/>
        <w:jc w:val="both"/>
        <w:divId w:val="7421420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O‘zbekiston Respublikasi Prezidentining 2015-yil 21-iyuldagi ““Navoiyazot” AJda ammiak va karbamid ishlab chiqa</w:t>
      </w:r>
      <w:r>
        <w:rPr>
          <w:rFonts w:eastAsia="Times New Roman"/>
          <w:color w:val="000000"/>
        </w:rPr>
        <w:t>rishlarini barpo etish” investitsiya loyihasini amalga oshirish chora-tadbirlari to‘g‘risida”gi PQ-2372-son qarorining rus tilidagi matni 10-bandi ikkinchi xatboshidagi “vvozimie” so‘zidan keyin “Navoiyazot AJ,” so‘zlari bilan to‘ldirilsin.</w:t>
      </w:r>
    </w:p>
    <w:sectPr w:rsidR="00CE1551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AE"/>
    <w:rsid w:val="00BF74AE"/>
    <w:rsid w:val="00C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86F01"/>
  <w15:chartTrackingRefBased/>
  <w15:docId w15:val="{A290FB45-5943-4A50-B727-D1CB8FC5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4207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07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93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9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63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95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12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07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78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92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-4741234)" TargetMode="External"/><Relationship Id="rId13" Type="http://schemas.openxmlformats.org/officeDocument/2006/relationships/hyperlink" Target="javascript:scrollText(-4741240)" TargetMode="External"/><Relationship Id="rId18" Type="http://schemas.openxmlformats.org/officeDocument/2006/relationships/hyperlink" Target="javascript:scrollText(-4741271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scrollText()" TargetMode="External"/><Relationship Id="rId12" Type="http://schemas.openxmlformats.org/officeDocument/2006/relationships/hyperlink" Target="javascript:scrollText(-4741240)" TargetMode="External"/><Relationship Id="rId17" Type="http://schemas.openxmlformats.org/officeDocument/2006/relationships/hyperlink" Target="javascript:scrollText(-4741271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crollText(-4741270)" TargetMode="External"/><Relationship Id="rId20" Type="http://schemas.openxmlformats.org/officeDocument/2006/relationships/hyperlink" Target="http://lex.uz/docs/-2529468?ONDATE=31.12.2014%2000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crollText(-4741273)" TargetMode="External"/><Relationship Id="rId11" Type="http://schemas.openxmlformats.org/officeDocument/2006/relationships/hyperlink" Target="javascript:scrollText(-4741238)" TargetMode="External"/><Relationship Id="rId5" Type="http://schemas.openxmlformats.org/officeDocument/2006/relationships/hyperlink" Target="javascript:scrollText(-4741256)" TargetMode="External"/><Relationship Id="rId15" Type="http://schemas.openxmlformats.org/officeDocument/2006/relationships/hyperlink" Target="javascript:scrollText(-4741270)" TargetMode="External"/><Relationship Id="rId10" Type="http://schemas.openxmlformats.org/officeDocument/2006/relationships/hyperlink" Target="javascript:scrollText(-4741238)" TargetMode="External"/><Relationship Id="rId19" Type="http://schemas.openxmlformats.org/officeDocument/2006/relationships/hyperlink" Target="javascript:scrollText()" TargetMode="External"/><Relationship Id="rId4" Type="http://schemas.openxmlformats.org/officeDocument/2006/relationships/hyperlink" Target="javascript:scrollText(-4741135)" TargetMode="External"/><Relationship Id="rId9" Type="http://schemas.openxmlformats.org/officeDocument/2006/relationships/hyperlink" Target="javascript:scrollText(-4741238)" TargetMode="External"/><Relationship Id="rId14" Type="http://schemas.openxmlformats.org/officeDocument/2006/relationships/hyperlink" Target="javascript:scrollText(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2412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PQ-3146 24.07.2017</dc:title>
  <dc:subject/>
  <dc:creator>Gulnoza Alimova</dc:creator>
  <cp:keywords/>
  <dc:description/>
  <cp:lastModifiedBy>Gulnoza Alimova</cp:lastModifiedBy>
  <cp:revision>2</cp:revision>
  <dcterms:created xsi:type="dcterms:W3CDTF">2023-02-23T09:28:00Z</dcterms:created>
  <dcterms:modified xsi:type="dcterms:W3CDTF">2023-02-23T09:28:00Z</dcterms:modified>
</cp:coreProperties>
</file>